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eastAsia="zh-CN"/>
        </w:rPr>
        <w:t>附件</w:t>
      </w:r>
      <w:r>
        <w:rPr>
          <w:rFonts w:hint="eastAsia" w:ascii="黑体" w:hAnsi="黑体" w:eastAsia="黑体" w:cs="黑体"/>
          <w:bCs/>
          <w:color w:val="000000"/>
          <w:sz w:val="32"/>
          <w:szCs w:val="32"/>
          <w:lang w:val="en-US" w:eastAsia="zh-CN"/>
        </w:rPr>
        <w:t>1：</w:t>
      </w:r>
      <w:bookmarkStart w:id="0" w:name="_GoBack"/>
      <w:bookmarkEnd w:id="0"/>
    </w:p>
    <w:p>
      <w:pPr>
        <w:adjustRightInd w:val="0"/>
        <w:snapToGrid w:val="0"/>
        <w:spacing w:line="560" w:lineRule="exact"/>
        <w:jc w:val="center"/>
        <w:rPr>
          <w:rFonts w:hint="eastAsia"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bCs/>
          <w:color w:val="000000"/>
          <w:sz w:val="44"/>
          <w:szCs w:val="44"/>
        </w:rPr>
        <w:t>继续有效的区人民政府行政规范性文件目录</w:t>
      </w:r>
    </w:p>
    <w:tbl>
      <w:tblPr>
        <w:tblStyle w:val="16"/>
        <w:tblpPr w:leftFromText="180" w:rightFromText="180" w:vertAnchor="text" w:horzAnchor="page" w:tblpX="1525" w:tblpY="266"/>
        <w:tblOverlap w:val="never"/>
        <w:tblW w:w="14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5"/>
        <w:gridCol w:w="1335"/>
        <w:gridCol w:w="2850"/>
        <w:gridCol w:w="1845"/>
        <w:gridCol w:w="1590"/>
        <w:gridCol w:w="5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6" w:hRule="atLeast"/>
        </w:trPr>
        <w:tc>
          <w:tcPr>
            <w:tcW w:w="705"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黑体" w:hAnsi="黑体" w:eastAsia="黑体" w:cs="Times New Roman"/>
                <w:sz w:val="28"/>
                <w:szCs w:val="28"/>
              </w:rPr>
            </w:pPr>
            <w:r>
              <w:rPr>
                <w:rFonts w:hint="eastAsia" w:ascii="黑体" w:hAnsi="黑体" w:eastAsia="黑体" w:cs="Times New Roman"/>
                <w:sz w:val="28"/>
                <w:szCs w:val="28"/>
              </w:rPr>
              <w:t>序</w:t>
            </w:r>
            <w:r>
              <w:rPr>
                <w:rFonts w:ascii="黑体" w:hAnsi="黑体" w:eastAsia="黑体" w:cs="Times New Roman"/>
                <w:sz w:val="28"/>
                <w:szCs w:val="28"/>
              </w:rPr>
              <w:t>号</w:t>
            </w:r>
          </w:p>
        </w:tc>
        <w:tc>
          <w:tcPr>
            <w:tcW w:w="1335"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牵头起草部门</w:t>
            </w:r>
          </w:p>
        </w:tc>
        <w:tc>
          <w:tcPr>
            <w:tcW w:w="2850" w:type="dxa"/>
            <w:tcBorders>
              <w:top w:val="single" w:color="auto" w:sz="4" w:space="0"/>
              <w:left w:val="single" w:color="auto" w:sz="4" w:space="0"/>
              <w:right w:val="single" w:color="auto" w:sz="4" w:space="0"/>
            </w:tcBorders>
            <w:noWrap w:val="0"/>
            <w:vAlign w:val="center"/>
          </w:tcPr>
          <w:p>
            <w:pPr>
              <w:adjustRightInd w:val="0"/>
              <w:snapToGrid w:val="0"/>
              <w:jc w:val="center"/>
              <w:rPr>
                <w:rFonts w:ascii="黑体" w:hAnsi="黑体" w:eastAsia="黑体" w:cs="Times New Roman"/>
                <w:sz w:val="28"/>
                <w:szCs w:val="28"/>
              </w:rPr>
            </w:pPr>
            <w:r>
              <w:rPr>
                <w:rFonts w:ascii="黑体" w:hAnsi="黑体" w:eastAsia="黑体" w:cs="Times New Roman"/>
                <w:sz w:val="28"/>
                <w:szCs w:val="28"/>
              </w:rPr>
              <w:t>名称</w:t>
            </w:r>
          </w:p>
        </w:tc>
        <w:tc>
          <w:tcPr>
            <w:tcW w:w="1845" w:type="dxa"/>
            <w:tcBorders>
              <w:top w:val="single" w:color="auto" w:sz="4" w:space="0"/>
              <w:left w:val="single" w:color="auto" w:sz="4" w:space="0"/>
              <w:right w:val="single" w:color="auto" w:sz="4" w:space="0"/>
            </w:tcBorders>
            <w:noWrap w:val="0"/>
            <w:vAlign w:val="center"/>
          </w:tcPr>
          <w:p>
            <w:pPr>
              <w:adjustRightInd w:val="0"/>
              <w:snapToGrid w:val="0"/>
              <w:jc w:val="center"/>
              <w:rPr>
                <w:rFonts w:ascii="黑体" w:hAnsi="黑体" w:eastAsia="黑体" w:cs="Times New Roman"/>
                <w:sz w:val="28"/>
                <w:szCs w:val="28"/>
              </w:rPr>
            </w:pPr>
            <w:r>
              <w:rPr>
                <w:rFonts w:ascii="黑体" w:hAnsi="黑体" w:eastAsia="黑体" w:cs="Times New Roman"/>
                <w:sz w:val="28"/>
                <w:szCs w:val="28"/>
              </w:rPr>
              <w:t>文号</w:t>
            </w:r>
          </w:p>
        </w:tc>
        <w:tc>
          <w:tcPr>
            <w:tcW w:w="1590" w:type="dxa"/>
            <w:tcBorders>
              <w:top w:val="single" w:color="auto" w:sz="4" w:space="0"/>
              <w:left w:val="single" w:color="auto" w:sz="4" w:space="0"/>
              <w:right w:val="single" w:color="auto" w:sz="4" w:space="0"/>
            </w:tcBorders>
            <w:noWrap w:val="0"/>
            <w:vAlign w:val="center"/>
          </w:tcPr>
          <w:p>
            <w:pPr>
              <w:adjustRightInd w:val="0"/>
              <w:snapToGrid w:val="0"/>
              <w:jc w:val="center"/>
              <w:rPr>
                <w:rFonts w:ascii="黑体" w:hAnsi="黑体" w:eastAsia="黑体" w:cs="Times New Roman"/>
                <w:sz w:val="28"/>
                <w:szCs w:val="28"/>
              </w:rPr>
            </w:pPr>
            <w:r>
              <w:rPr>
                <w:rFonts w:ascii="黑体" w:hAnsi="黑体" w:eastAsia="黑体" w:cs="Times New Roman"/>
                <w:sz w:val="28"/>
                <w:szCs w:val="28"/>
              </w:rPr>
              <w:t>发布时间</w:t>
            </w:r>
          </w:p>
        </w:tc>
        <w:tc>
          <w:tcPr>
            <w:tcW w:w="5715"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黑体" w:hAnsi="黑体" w:eastAsia="黑体" w:cs="Times New Roman"/>
                <w:sz w:val="28"/>
                <w:szCs w:val="28"/>
              </w:rPr>
            </w:pPr>
            <w:r>
              <w:rPr>
                <w:rFonts w:hint="eastAsia" w:ascii="黑体" w:hAnsi="黑体" w:eastAsia="黑体" w:cs="Times New Roman"/>
                <w:sz w:val="28"/>
                <w:szCs w:val="28"/>
                <w:lang w:eastAsia="zh-CN"/>
              </w:rPr>
              <w:t>继续有效</w:t>
            </w:r>
            <w:r>
              <w:rPr>
                <w:rFonts w:ascii="黑体" w:hAnsi="黑体" w:eastAsia="黑体" w:cs="Times New Roman"/>
                <w:sz w:val="28"/>
                <w:szCs w:val="28"/>
              </w:rPr>
              <w:t>的依据和理由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trPr>
        <w:tc>
          <w:tcPr>
            <w:tcW w:w="705"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p>
        </w:tc>
        <w:tc>
          <w:tcPr>
            <w:tcW w:w="1335"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区交通局</w:t>
            </w:r>
          </w:p>
        </w:tc>
        <w:tc>
          <w:tcPr>
            <w:tcW w:w="2850" w:type="dxa"/>
            <w:tcBorders>
              <w:top w:val="single" w:color="auto" w:sz="4" w:space="0"/>
              <w:left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《鱼峰区农村公路养护管理实施细则》</w:t>
            </w:r>
          </w:p>
          <w:p>
            <w:pPr>
              <w:adjustRightInd w:val="0"/>
              <w:snapToGrid w:val="0"/>
              <w:jc w:val="both"/>
              <w:rPr>
                <w:rFonts w:hint="eastAsia" w:ascii="Times New Roman" w:hAnsi="Times New Roman" w:eastAsia="仿宋_GB2312" w:cs="Times New Roman"/>
                <w:sz w:val="28"/>
                <w:szCs w:val="28"/>
                <w:lang w:eastAsia="zh-CN"/>
              </w:rPr>
            </w:pPr>
          </w:p>
        </w:tc>
        <w:tc>
          <w:tcPr>
            <w:tcW w:w="1845" w:type="dxa"/>
            <w:tcBorders>
              <w:top w:val="single" w:color="auto" w:sz="4" w:space="0"/>
              <w:left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鱼府规</w:t>
            </w:r>
            <w:r>
              <w:rPr>
                <w:rFonts w:hint="eastAsia" w:ascii="Times New Roman" w:hAnsi="Times New Roman" w:eastAsia="仿宋_GB2312" w:cs="Times New Roman"/>
                <w:sz w:val="28"/>
                <w:szCs w:val="28"/>
                <w:lang w:eastAsia="zh-CN"/>
              </w:rPr>
              <w:t>〔2020〕</w:t>
            </w:r>
            <w:r>
              <w:rPr>
                <w:rFonts w:hint="eastAsia" w:ascii="Times New Roman" w:hAnsi="Times New Roman" w:eastAsia="仿宋_GB2312" w:cs="Times New Roman"/>
                <w:sz w:val="28"/>
                <w:szCs w:val="28"/>
                <w:lang w:val="en-US" w:eastAsia="zh-CN"/>
              </w:rPr>
              <w:t>6号</w:t>
            </w:r>
          </w:p>
        </w:tc>
        <w:tc>
          <w:tcPr>
            <w:tcW w:w="1590" w:type="dxa"/>
            <w:tcBorders>
              <w:top w:val="single" w:color="auto" w:sz="4" w:space="0"/>
              <w:left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2020年5月14日</w:t>
            </w:r>
          </w:p>
        </w:tc>
        <w:tc>
          <w:tcPr>
            <w:tcW w:w="5715"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市级层面指导性文件《柳州市</w:t>
            </w:r>
            <w:r>
              <w:rPr>
                <w:rFonts w:hint="eastAsia" w:ascii="Times New Roman" w:hAnsi="Times New Roman" w:eastAsia="仿宋_GB2312" w:cs="Times New Roman"/>
                <w:sz w:val="28"/>
                <w:szCs w:val="28"/>
                <w:lang w:eastAsia="zh-CN"/>
              </w:rPr>
              <w:t>农村公路养护管理实施细则</w:t>
            </w:r>
            <w:r>
              <w:rPr>
                <w:rFonts w:hint="eastAsia" w:ascii="Times New Roman" w:hAnsi="Times New Roman" w:eastAsia="仿宋_GB2312" w:cs="Times New Roman"/>
                <w:sz w:val="28"/>
                <w:szCs w:val="28"/>
                <w:lang w:val="en-US" w:eastAsia="zh-CN"/>
              </w:rPr>
              <w:t>》仍在适用，文件内容也符合现在“四好农村路”发展，所以继续保留该文件</w:t>
            </w:r>
            <w:r>
              <w:rPr>
                <w:rFonts w:hint="eastAsia"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705"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p>
        </w:tc>
        <w:tc>
          <w:tcPr>
            <w:tcW w:w="133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区农业农村局</w:t>
            </w:r>
          </w:p>
        </w:tc>
        <w:tc>
          <w:tcPr>
            <w:tcW w:w="2850" w:type="dxa"/>
            <w:tcBorders>
              <w:top w:val="single" w:color="auto" w:sz="4" w:space="0"/>
              <w:left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《鱼峰区关于推行“糖料蔗订单合同纠纷区镇村三级调处”工作机制实施方案》</w:t>
            </w:r>
          </w:p>
          <w:p>
            <w:pPr>
              <w:adjustRightInd w:val="0"/>
              <w:snapToGrid w:val="0"/>
              <w:jc w:val="both"/>
              <w:rPr>
                <w:rFonts w:hint="eastAsia" w:ascii="Times New Roman" w:hAnsi="Times New Roman" w:eastAsia="仿宋_GB2312" w:cs="Times New Roman"/>
                <w:sz w:val="28"/>
                <w:szCs w:val="28"/>
                <w:lang w:eastAsia="zh-CN"/>
              </w:rPr>
            </w:pPr>
          </w:p>
        </w:tc>
        <w:tc>
          <w:tcPr>
            <w:tcW w:w="1845" w:type="dxa"/>
            <w:tcBorders>
              <w:top w:val="single" w:color="auto" w:sz="4" w:space="0"/>
              <w:left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鱼府规〔2019〕9号</w:t>
            </w:r>
          </w:p>
        </w:tc>
        <w:tc>
          <w:tcPr>
            <w:tcW w:w="1590" w:type="dxa"/>
            <w:tcBorders>
              <w:top w:val="single" w:color="auto" w:sz="4" w:space="0"/>
              <w:left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2019年11月18日</w:t>
            </w:r>
          </w:p>
        </w:tc>
        <w:tc>
          <w:tcPr>
            <w:tcW w:w="5715"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该方案着力解决制糖企业与蔗农之间的纠纷，切实维护制糖企业和蔗农的合法权益。市农业农村局相关指导性文件均没有宣布失效，且暂未出台新的（修订的）相关指导文件，故继续生效。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33" w:hRule="atLeast"/>
        </w:trPr>
        <w:tc>
          <w:tcPr>
            <w:tcW w:w="705"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w:t>
            </w:r>
          </w:p>
        </w:tc>
        <w:tc>
          <w:tcPr>
            <w:tcW w:w="1335" w:type="dxa"/>
            <w:vMerge w:val="continue"/>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p>
        </w:tc>
        <w:tc>
          <w:tcPr>
            <w:tcW w:w="2850" w:type="dxa"/>
            <w:tcBorders>
              <w:top w:val="single" w:color="auto" w:sz="4" w:space="0"/>
              <w:left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《鱼峰区突发重大动物疫情应急预案（2020年修订版）》</w:t>
            </w:r>
          </w:p>
        </w:tc>
        <w:tc>
          <w:tcPr>
            <w:tcW w:w="1845" w:type="dxa"/>
            <w:tcBorders>
              <w:top w:val="single" w:color="auto" w:sz="4" w:space="0"/>
              <w:left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鱼府规〔2020〕9号</w:t>
            </w:r>
          </w:p>
        </w:tc>
        <w:tc>
          <w:tcPr>
            <w:tcW w:w="1590" w:type="dxa"/>
            <w:tcBorders>
              <w:top w:val="single" w:color="auto" w:sz="4" w:space="0"/>
              <w:left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2020年11月17日</w:t>
            </w:r>
          </w:p>
        </w:tc>
        <w:tc>
          <w:tcPr>
            <w:tcW w:w="5715"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经</w:t>
            </w:r>
            <w:r>
              <w:rPr>
                <w:rFonts w:hint="eastAsia" w:cs="Times New Roman"/>
                <w:sz w:val="28"/>
                <w:szCs w:val="28"/>
                <w:lang w:eastAsia="zh-CN"/>
              </w:rPr>
              <w:t>与</w:t>
            </w:r>
            <w:r>
              <w:rPr>
                <w:rFonts w:hint="eastAsia" w:ascii="Times New Roman" w:hAnsi="Times New Roman" w:eastAsia="仿宋_GB2312" w:cs="Times New Roman"/>
                <w:sz w:val="28"/>
                <w:szCs w:val="28"/>
                <w:lang w:eastAsia="zh-CN"/>
              </w:rPr>
              <w:t>市农业农村局问询，目前《柳州市突发重大动物疫情应急预案》（柳政办〔2006〕111号）没有宣布失效，2020年我区制定的《鱼峰区突发重大动物疫情应急预案（2020年修订版）》（鱼府规〔2020〕9号）是在该文件的基础上制定的，所以建议继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w:t>
            </w:r>
          </w:p>
        </w:tc>
        <w:tc>
          <w:tcPr>
            <w:tcW w:w="1335" w:type="dxa"/>
            <w:vMerge w:val="continue"/>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《鱼峰区渔船清理和渔民补偿安置方案》</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鱼府规〔2020〕3号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2020年3月24日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经</w:t>
            </w:r>
            <w:r>
              <w:rPr>
                <w:rFonts w:hint="eastAsia" w:cs="Times New Roman"/>
                <w:sz w:val="28"/>
                <w:szCs w:val="28"/>
                <w:lang w:eastAsia="zh-CN"/>
              </w:rPr>
              <w:t>与</w:t>
            </w:r>
            <w:r>
              <w:rPr>
                <w:rFonts w:hint="eastAsia" w:ascii="Times New Roman" w:hAnsi="Times New Roman" w:eastAsia="仿宋_GB2312" w:cs="Times New Roman"/>
                <w:sz w:val="28"/>
                <w:szCs w:val="28"/>
                <w:lang w:eastAsia="zh-CN"/>
              </w:rPr>
              <w:t>市农业农村局问询，目前《柳州市人民政府关于印发柳州市区渔船清理和渔民补偿安置方案》的通知》（柳政发〔20</w:t>
            </w:r>
            <w:r>
              <w:rPr>
                <w:rFonts w:hint="eastAsia" w:ascii="Times New Roman" w:hAnsi="Times New Roman" w:eastAsia="仿宋_GB2312" w:cs="Times New Roman"/>
                <w:sz w:val="28"/>
                <w:szCs w:val="28"/>
                <w:lang w:val="en-US" w:eastAsia="zh-CN"/>
              </w:rPr>
              <w:t>19</w:t>
            </w:r>
            <w:r>
              <w:rPr>
                <w:rFonts w:hint="eastAsia" w:ascii="Times New Roman" w:hAnsi="Times New Roman" w:eastAsia="仿宋_GB2312" w:cs="Times New Roman"/>
                <w:sz w:val="28"/>
                <w:szCs w:val="28"/>
                <w:lang w:eastAsia="zh-CN"/>
              </w:rPr>
              <w:t>〕38号）均没有宣布失效，2020年我区制定的《鱼峰区人民政府关于印发《鱼峰区渔船清理和渔民补偿安置方案》的通知（鱼府规〔2020〕3号）的该项规范性文件是在（柳政发〔20</w:t>
            </w:r>
            <w:r>
              <w:rPr>
                <w:rFonts w:hint="eastAsia" w:ascii="Times New Roman" w:hAnsi="Times New Roman" w:eastAsia="仿宋_GB2312" w:cs="Times New Roman"/>
                <w:sz w:val="28"/>
                <w:szCs w:val="28"/>
                <w:lang w:val="en-US" w:eastAsia="zh-CN"/>
              </w:rPr>
              <w:t>19</w:t>
            </w:r>
            <w:r>
              <w:rPr>
                <w:rFonts w:hint="eastAsia" w:ascii="Times New Roman" w:hAnsi="Times New Roman" w:eastAsia="仿宋_GB2312" w:cs="Times New Roman"/>
                <w:sz w:val="28"/>
                <w:szCs w:val="28"/>
                <w:lang w:eastAsia="zh-CN"/>
              </w:rPr>
              <w:t>〕38号）文件的基础上制定的，所以建议继续使用。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w:t>
            </w:r>
          </w:p>
        </w:tc>
        <w:tc>
          <w:tcPr>
            <w:tcW w:w="1335" w:type="dxa"/>
            <w:vMerge w:val="restart"/>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鱼峰生态环境局</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《鱼峰区空气污染事件应急预案》</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鱼政发〔20</w:t>
            </w:r>
            <w:r>
              <w:rPr>
                <w:rFonts w:hint="eastAsia" w:ascii="Times New Roman" w:hAnsi="Times New Roman" w:eastAsia="仿宋_GB2312" w:cs="Times New Roman"/>
                <w:sz w:val="28"/>
                <w:szCs w:val="28"/>
                <w:lang w:val="en-US" w:eastAsia="zh-CN"/>
              </w:rPr>
              <w:t>18</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4</w:t>
            </w:r>
            <w:r>
              <w:rPr>
                <w:rFonts w:hint="eastAsia" w:ascii="Times New Roman" w:hAnsi="Times New Roman" w:eastAsia="仿宋_GB2312" w:cs="Times New Roman"/>
                <w:sz w:val="28"/>
                <w:szCs w:val="28"/>
                <w:lang w:eastAsia="zh-CN"/>
              </w:rPr>
              <w:t>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2018年12月29日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经</w:t>
            </w:r>
            <w:r>
              <w:rPr>
                <w:rFonts w:hint="eastAsia" w:cs="Times New Roman"/>
                <w:sz w:val="28"/>
                <w:szCs w:val="28"/>
                <w:lang w:eastAsia="zh-CN"/>
              </w:rPr>
              <w:t>与</w:t>
            </w:r>
            <w:r>
              <w:rPr>
                <w:rFonts w:hint="eastAsia" w:ascii="Times New Roman" w:hAnsi="Times New Roman" w:eastAsia="仿宋_GB2312" w:cs="Times New Roman"/>
                <w:sz w:val="28"/>
                <w:szCs w:val="28"/>
                <w:lang w:eastAsia="zh-CN"/>
              </w:rPr>
              <w:t>市生态环境局询问，目前《柳州市人民政府关于印发&lt;柳州市空气污染事件应急预案</w:t>
            </w:r>
            <w:r>
              <w:rPr>
                <w:rFonts w:hint="eastAsia" w:cs="Times New Roman"/>
                <w:sz w:val="28"/>
                <w:szCs w:val="28"/>
                <w:lang w:eastAsia="zh-CN"/>
              </w:rPr>
              <w:t>（</w:t>
            </w:r>
            <w:r>
              <w:rPr>
                <w:rFonts w:hint="eastAsia" w:ascii="Times New Roman" w:hAnsi="Times New Roman" w:eastAsia="仿宋_GB2312" w:cs="Times New Roman"/>
                <w:sz w:val="28"/>
                <w:szCs w:val="28"/>
                <w:lang w:eastAsia="zh-CN"/>
              </w:rPr>
              <w:t>2018年修订</w:t>
            </w:r>
            <w:r>
              <w:rPr>
                <w:rFonts w:hint="eastAsia" w:cs="Times New Roman"/>
                <w:sz w:val="28"/>
                <w:szCs w:val="28"/>
                <w:lang w:eastAsia="zh-CN"/>
              </w:rPr>
              <w:t>）</w:t>
            </w:r>
            <w:r>
              <w:rPr>
                <w:rFonts w:hint="eastAsia" w:ascii="Times New Roman" w:hAnsi="Times New Roman" w:eastAsia="仿宋_GB2312" w:cs="Times New Roman"/>
                <w:sz w:val="28"/>
                <w:szCs w:val="28"/>
                <w:lang w:val="en-US" w:eastAsia="zh-CN"/>
              </w:rPr>
              <w:t>&gt;</w:t>
            </w:r>
            <w:r>
              <w:rPr>
                <w:rFonts w:hint="eastAsia" w:ascii="Times New Roman" w:hAnsi="Times New Roman" w:eastAsia="仿宋_GB2312" w:cs="Times New Roman"/>
                <w:sz w:val="28"/>
                <w:szCs w:val="28"/>
                <w:lang w:eastAsia="zh-CN"/>
              </w:rPr>
              <w:t>的通知》</w:t>
            </w:r>
            <w:r>
              <w:rPr>
                <w:rFonts w:hint="eastAsia" w:cs="Times New Roman"/>
                <w:sz w:val="28"/>
                <w:szCs w:val="28"/>
                <w:lang w:eastAsia="zh-CN"/>
              </w:rPr>
              <w:t>（</w:t>
            </w:r>
            <w:r>
              <w:rPr>
                <w:rFonts w:hint="eastAsia" w:ascii="Times New Roman" w:hAnsi="Times New Roman" w:eastAsia="仿宋_GB2312" w:cs="Times New Roman"/>
                <w:sz w:val="28"/>
                <w:szCs w:val="28"/>
                <w:lang w:eastAsia="zh-CN"/>
              </w:rPr>
              <w:t>柳政规〔20</w:t>
            </w:r>
            <w:r>
              <w:rPr>
                <w:rFonts w:hint="eastAsia" w:ascii="Times New Roman" w:hAnsi="Times New Roman" w:eastAsia="仿宋_GB2312" w:cs="Times New Roman"/>
                <w:sz w:val="28"/>
                <w:szCs w:val="28"/>
                <w:lang w:val="en-US" w:eastAsia="zh-CN"/>
              </w:rPr>
              <w:t>18</w:t>
            </w:r>
            <w:r>
              <w:rPr>
                <w:rFonts w:hint="eastAsia" w:ascii="Times New Roman" w:hAnsi="Times New Roman" w:eastAsia="仿宋_GB2312" w:cs="Times New Roman"/>
                <w:sz w:val="28"/>
                <w:szCs w:val="28"/>
                <w:lang w:eastAsia="zh-CN"/>
              </w:rPr>
              <w:t>〕16号</w:t>
            </w:r>
            <w:r>
              <w:rPr>
                <w:rFonts w:hint="eastAsia" w:cs="Times New Roman"/>
                <w:sz w:val="28"/>
                <w:szCs w:val="28"/>
                <w:lang w:eastAsia="zh-CN"/>
              </w:rPr>
              <w:t>）</w:t>
            </w:r>
            <w:r>
              <w:rPr>
                <w:rFonts w:hint="eastAsia" w:ascii="Times New Roman" w:hAnsi="Times New Roman" w:eastAsia="仿宋_GB2312" w:cs="Times New Roman"/>
                <w:sz w:val="28"/>
                <w:szCs w:val="28"/>
                <w:lang w:eastAsia="zh-CN"/>
              </w:rPr>
              <w:t>没有宣布失效，该文件是在以上文件的基础上制定的，建议继续使用</w:t>
            </w:r>
            <w:r>
              <w:rPr>
                <w:rFonts w:hint="eastAsia" w:cs="Times New Roman"/>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w:t>
            </w:r>
          </w:p>
        </w:tc>
        <w:tc>
          <w:tcPr>
            <w:tcW w:w="1335" w:type="dxa"/>
            <w:vMerge w:val="continue"/>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《鱼峰区饮用水源突发环境事件应急预案》</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鱼府规〔20</w:t>
            </w:r>
            <w:r>
              <w:rPr>
                <w:rFonts w:hint="eastAsia" w:ascii="Times New Roman" w:hAnsi="Times New Roman" w:eastAsia="仿宋_GB2312" w:cs="Times New Roman"/>
                <w:sz w:val="28"/>
                <w:szCs w:val="28"/>
                <w:lang w:val="en-US" w:eastAsia="zh-CN"/>
              </w:rPr>
              <w:t>19</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eastAsia="zh-CN"/>
              </w:rPr>
              <w:t>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2019年1月21日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经</w:t>
            </w:r>
            <w:r>
              <w:rPr>
                <w:rFonts w:hint="eastAsia" w:cs="Times New Roman"/>
                <w:sz w:val="28"/>
                <w:szCs w:val="28"/>
                <w:lang w:eastAsia="zh-CN"/>
              </w:rPr>
              <w:t>与</w:t>
            </w:r>
            <w:r>
              <w:rPr>
                <w:rFonts w:hint="eastAsia" w:ascii="Times New Roman" w:hAnsi="Times New Roman" w:eastAsia="仿宋_GB2312" w:cs="Times New Roman"/>
                <w:sz w:val="28"/>
                <w:szCs w:val="28"/>
                <w:lang w:eastAsia="zh-CN"/>
              </w:rPr>
              <w:t>市生态环境局询问，目前《柳州市人民政府关于印发&lt;柳州市饮用水水源突发环境事件应急预案</w:t>
            </w:r>
            <w:r>
              <w:rPr>
                <w:rFonts w:hint="eastAsia" w:cs="Times New Roman"/>
                <w:sz w:val="28"/>
                <w:szCs w:val="28"/>
                <w:lang w:eastAsia="zh-CN"/>
              </w:rPr>
              <w:t>（</w:t>
            </w:r>
            <w:r>
              <w:rPr>
                <w:rFonts w:hint="eastAsia" w:ascii="Times New Roman" w:hAnsi="Times New Roman" w:eastAsia="仿宋_GB2312" w:cs="Times New Roman"/>
                <w:sz w:val="28"/>
                <w:szCs w:val="28"/>
                <w:lang w:eastAsia="zh-CN"/>
              </w:rPr>
              <w:t>2018年修订</w:t>
            </w:r>
            <w:r>
              <w:rPr>
                <w:rFonts w:hint="eastAsia" w:cs="Times New Roman"/>
                <w:sz w:val="28"/>
                <w:szCs w:val="28"/>
                <w:lang w:eastAsia="zh-CN"/>
              </w:rPr>
              <w:t>）</w:t>
            </w:r>
            <w:r>
              <w:rPr>
                <w:rFonts w:hint="eastAsia" w:ascii="Times New Roman" w:hAnsi="Times New Roman" w:eastAsia="仿宋_GB2312" w:cs="Times New Roman"/>
                <w:sz w:val="28"/>
                <w:szCs w:val="28"/>
                <w:lang w:eastAsia="zh-CN"/>
              </w:rPr>
              <w:t>》</w:t>
            </w:r>
            <w:r>
              <w:rPr>
                <w:rFonts w:hint="eastAsia" w:cs="Times New Roman"/>
                <w:sz w:val="28"/>
                <w:szCs w:val="28"/>
                <w:lang w:eastAsia="zh-CN"/>
              </w:rPr>
              <w:t>（</w:t>
            </w:r>
            <w:r>
              <w:rPr>
                <w:rFonts w:hint="eastAsia" w:ascii="Times New Roman" w:hAnsi="Times New Roman" w:eastAsia="仿宋_GB2312" w:cs="Times New Roman"/>
                <w:sz w:val="28"/>
                <w:szCs w:val="28"/>
                <w:lang w:eastAsia="zh-CN"/>
              </w:rPr>
              <w:t>柳政规〔20</w:t>
            </w:r>
            <w:r>
              <w:rPr>
                <w:rFonts w:hint="eastAsia" w:ascii="Times New Roman" w:hAnsi="Times New Roman" w:eastAsia="仿宋_GB2312" w:cs="Times New Roman"/>
                <w:sz w:val="28"/>
                <w:szCs w:val="28"/>
                <w:lang w:val="en-US" w:eastAsia="zh-CN"/>
              </w:rPr>
              <w:t>18</w:t>
            </w:r>
            <w:r>
              <w:rPr>
                <w:rFonts w:hint="eastAsia" w:ascii="Times New Roman" w:hAnsi="Times New Roman" w:eastAsia="仿宋_GB2312" w:cs="Times New Roman"/>
                <w:sz w:val="28"/>
                <w:szCs w:val="28"/>
                <w:lang w:eastAsia="zh-CN"/>
              </w:rPr>
              <w:t>〕15号</w:t>
            </w:r>
            <w:r>
              <w:rPr>
                <w:rFonts w:hint="eastAsia" w:cs="Times New Roman"/>
                <w:sz w:val="28"/>
                <w:szCs w:val="28"/>
                <w:lang w:eastAsia="zh-CN"/>
              </w:rPr>
              <w:t>）</w:t>
            </w:r>
            <w:r>
              <w:rPr>
                <w:rFonts w:hint="eastAsia" w:ascii="Times New Roman" w:hAnsi="Times New Roman" w:eastAsia="仿宋_GB2312" w:cs="Times New Roman"/>
                <w:sz w:val="28"/>
                <w:szCs w:val="28"/>
                <w:lang w:eastAsia="zh-CN"/>
              </w:rPr>
              <w:t>没有宣布失效，该</w:t>
            </w:r>
            <w:r>
              <w:rPr>
                <w:rFonts w:hint="eastAsia" w:cs="Times New Roman"/>
                <w:sz w:val="28"/>
                <w:szCs w:val="28"/>
                <w:lang w:eastAsia="zh-CN"/>
              </w:rPr>
              <w:t>规范性文件</w:t>
            </w:r>
            <w:r>
              <w:rPr>
                <w:rFonts w:hint="eastAsia" w:ascii="Times New Roman" w:hAnsi="Times New Roman" w:eastAsia="仿宋_GB2312" w:cs="Times New Roman"/>
                <w:sz w:val="28"/>
                <w:szCs w:val="28"/>
                <w:lang w:eastAsia="zh-CN"/>
              </w:rPr>
              <w:t>是在以上文件的基础上制定的，建议继续使用。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w:t>
            </w:r>
          </w:p>
        </w:tc>
        <w:tc>
          <w:tcPr>
            <w:tcW w:w="1335" w:type="dxa"/>
            <w:vMerge w:val="continue"/>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《鱼峰区畜禽养殖禁养区划定方案（</w:t>
            </w:r>
            <w:r>
              <w:rPr>
                <w:rFonts w:hint="eastAsia" w:ascii="Times New Roman" w:hAnsi="Times New Roman" w:eastAsia="仿宋_GB2312" w:cs="Times New Roman"/>
                <w:sz w:val="28"/>
                <w:szCs w:val="28"/>
                <w:lang w:val="en-US" w:eastAsia="zh-CN"/>
              </w:rPr>
              <w:t>2022年修订</w:t>
            </w:r>
            <w:r>
              <w:rPr>
                <w:rFonts w:hint="eastAsia" w:ascii="Times New Roman" w:hAnsi="Times New Roman" w:eastAsia="仿宋_GB2312" w:cs="Times New Roman"/>
                <w:sz w:val="28"/>
                <w:szCs w:val="28"/>
                <w:lang w:eastAsia="zh-CN"/>
              </w:rPr>
              <w:t>）》</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鱼府规〔20</w:t>
            </w:r>
            <w:r>
              <w:rPr>
                <w:rFonts w:hint="eastAsia" w:ascii="Times New Roman" w:hAnsi="Times New Roman" w:eastAsia="仿宋_GB2312" w:cs="Times New Roman"/>
                <w:sz w:val="28"/>
                <w:szCs w:val="28"/>
                <w:lang w:val="en-US" w:eastAsia="zh-CN"/>
              </w:rPr>
              <w:t>22</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eastAsia="zh-CN"/>
              </w:rPr>
              <w:t>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2022年4月23日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经</w:t>
            </w:r>
            <w:r>
              <w:rPr>
                <w:rFonts w:hint="eastAsia" w:cs="Times New Roman"/>
                <w:sz w:val="28"/>
                <w:szCs w:val="28"/>
                <w:lang w:eastAsia="zh-CN"/>
              </w:rPr>
              <w:t>与</w:t>
            </w:r>
            <w:r>
              <w:rPr>
                <w:rFonts w:hint="eastAsia" w:ascii="Times New Roman" w:hAnsi="Times New Roman" w:eastAsia="仿宋_GB2312" w:cs="Times New Roman"/>
                <w:sz w:val="28"/>
                <w:szCs w:val="28"/>
                <w:lang w:eastAsia="zh-CN"/>
              </w:rPr>
              <w:t>市生态环境局询问，目前《柳州市人民政府关于印发&lt;柳州市畜禽养殖禁养区划定方案</w:t>
            </w:r>
            <w:r>
              <w:rPr>
                <w:rFonts w:hint="eastAsia" w:cs="Times New Roman"/>
                <w:sz w:val="28"/>
                <w:szCs w:val="28"/>
                <w:lang w:eastAsia="zh-CN"/>
              </w:rPr>
              <w:t>（</w:t>
            </w:r>
            <w:r>
              <w:rPr>
                <w:rFonts w:hint="eastAsia" w:ascii="Times New Roman" w:hAnsi="Times New Roman" w:eastAsia="仿宋_GB2312" w:cs="Times New Roman"/>
                <w:sz w:val="28"/>
                <w:szCs w:val="28"/>
                <w:lang w:eastAsia="zh-CN"/>
              </w:rPr>
              <w:t>2020年修订</w:t>
            </w:r>
            <w:r>
              <w:rPr>
                <w:rFonts w:hint="eastAsia" w:cs="Times New Roman"/>
                <w:sz w:val="28"/>
                <w:szCs w:val="28"/>
                <w:lang w:eastAsia="zh-CN"/>
              </w:rPr>
              <w:t>）</w:t>
            </w:r>
            <w:r>
              <w:rPr>
                <w:rFonts w:hint="eastAsia" w:ascii="Times New Roman" w:hAnsi="Times New Roman" w:eastAsia="仿宋_GB2312" w:cs="Times New Roman"/>
                <w:sz w:val="28"/>
                <w:szCs w:val="28"/>
                <w:lang w:eastAsia="zh-CN"/>
              </w:rPr>
              <w:t>&gt;的通知》</w:t>
            </w:r>
            <w:r>
              <w:rPr>
                <w:rFonts w:hint="eastAsia" w:cs="Times New Roman"/>
                <w:sz w:val="28"/>
                <w:szCs w:val="28"/>
                <w:lang w:eastAsia="zh-CN"/>
              </w:rPr>
              <w:t>（</w:t>
            </w:r>
            <w:r>
              <w:rPr>
                <w:rFonts w:hint="eastAsia" w:ascii="Times New Roman" w:hAnsi="Times New Roman" w:eastAsia="仿宋_GB2312" w:cs="Times New Roman"/>
                <w:sz w:val="28"/>
                <w:szCs w:val="28"/>
                <w:lang w:eastAsia="zh-CN"/>
              </w:rPr>
              <w:t>柳政规〔202</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eastAsia="zh-CN"/>
              </w:rPr>
              <w:t>〕1号</w:t>
            </w:r>
            <w:r>
              <w:rPr>
                <w:rFonts w:hint="eastAsia" w:cs="Times New Roman"/>
                <w:sz w:val="28"/>
                <w:szCs w:val="28"/>
                <w:lang w:eastAsia="zh-CN"/>
              </w:rPr>
              <w:t>）</w:t>
            </w:r>
            <w:r>
              <w:rPr>
                <w:rFonts w:hint="eastAsia" w:ascii="Times New Roman" w:hAnsi="Times New Roman" w:eastAsia="仿宋_GB2312" w:cs="Times New Roman"/>
                <w:sz w:val="28"/>
                <w:szCs w:val="28"/>
                <w:lang w:eastAsia="zh-CN"/>
              </w:rPr>
              <w:t>没有宣布失效，该</w:t>
            </w:r>
            <w:r>
              <w:rPr>
                <w:rFonts w:hint="eastAsia" w:cs="Times New Roman"/>
                <w:sz w:val="28"/>
                <w:szCs w:val="28"/>
                <w:lang w:eastAsia="zh-CN"/>
              </w:rPr>
              <w:t>规范性文件</w:t>
            </w:r>
            <w:r>
              <w:rPr>
                <w:rFonts w:hint="eastAsia" w:ascii="Times New Roman" w:hAnsi="Times New Roman" w:eastAsia="仿宋_GB2312" w:cs="Times New Roman"/>
                <w:sz w:val="28"/>
                <w:szCs w:val="28"/>
                <w:lang w:eastAsia="zh-CN"/>
              </w:rPr>
              <w:t>是在以上文件的基础上制定的，建议继续使用。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w:t>
            </w:r>
          </w:p>
        </w:tc>
        <w:tc>
          <w:tcPr>
            <w:tcW w:w="1335" w:type="dxa"/>
            <w:vMerge w:val="continue"/>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《鱼峰区解决噪声扰民问题实施方案》</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鱼政办发〔2017〕52号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2017年7月24日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上级部门文件均没有宣布失效，且暂未出台新的（修订的）相关指导文件，故继续生效</w:t>
            </w:r>
            <w:r>
              <w:rPr>
                <w:rFonts w:hint="eastAsia" w:cs="Times New Roman"/>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1335" w:type="dxa"/>
            <w:vMerge w:val="continue"/>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《鱼峰区污染天气应急预案》</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鱼府规〔2019〕8号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2019年10月24日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经</w:t>
            </w:r>
            <w:r>
              <w:rPr>
                <w:rFonts w:hint="eastAsia" w:cs="Times New Roman"/>
                <w:sz w:val="28"/>
                <w:szCs w:val="28"/>
                <w:lang w:eastAsia="zh-CN"/>
              </w:rPr>
              <w:t>与</w:t>
            </w:r>
            <w:r>
              <w:rPr>
                <w:rFonts w:hint="eastAsia" w:ascii="Times New Roman" w:hAnsi="Times New Roman" w:eastAsia="仿宋_GB2312" w:cs="Times New Roman"/>
                <w:sz w:val="28"/>
                <w:szCs w:val="28"/>
                <w:lang w:eastAsia="zh-CN"/>
              </w:rPr>
              <w:t>市生态环境局询问，目前《柳州市人民政府关于印发&lt;柳州市人民政府关于印发《柳州市污染天气应急预案》的通知》</w:t>
            </w:r>
            <w:r>
              <w:rPr>
                <w:rFonts w:hint="eastAsia" w:cs="Times New Roman"/>
                <w:sz w:val="28"/>
                <w:szCs w:val="28"/>
                <w:lang w:eastAsia="zh-CN"/>
              </w:rPr>
              <w:t>（</w:t>
            </w:r>
            <w:r>
              <w:rPr>
                <w:rFonts w:hint="eastAsia" w:ascii="Times New Roman" w:hAnsi="Times New Roman" w:eastAsia="仿宋_GB2312" w:cs="Times New Roman"/>
                <w:sz w:val="28"/>
                <w:szCs w:val="28"/>
                <w:lang w:eastAsia="zh-CN"/>
              </w:rPr>
              <w:t>柳政规〔20</w:t>
            </w:r>
            <w:r>
              <w:rPr>
                <w:rFonts w:hint="eastAsia" w:ascii="Times New Roman" w:hAnsi="Times New Roman" w:eastAsia="仿宋_GB2312" w:cs="Times New Roman"/>
                <w:sz w:val="28"/>
                <w:szCs w:val="28"/>
                <w:lang w:val="en-US" w:eastAsia="zh-CN"/>
              </w:rPr>
              <w:t>19</w:t>
            </w:r>
            <w:r>
              <w:rPr>
                <w:rFonts w:hint="eastAsia" w:ascii="Times New Roman" w:hAnsi="Times New Roman" w:eastAsia="仿宋_GB2312" w:cs="Times New Roman"/>
                <w:sz w:val="28"/>
                <w:szCs w:val="28"/>
                <w:lang w:eastAsia="zh-CN"/>
              </w:rPr>
              <w:t>〕30号</w:t>
            </w:r>
            <w:r>
              <w:rPr>
                <w:rFonts w:hint="eastAsia" w:cs="Times New Roman"/>
                <w:sz w:val="28"/>
                <w:szCs w:val="28"/>
                <w:lang w:eastAsia="zh-CN"/>
              </w:rPr>
              <w:t>）</w:t>
            </w:r>
            <w:r>
              <w:rPr>
                <w:rFonts w:hint="eastAsia" w:ascii="Times New Roman" w:hAnsi="Times New Roman" w:eastAsia="仿宋_GB2312" w:cs="Times New Roman"/>
                <w:sz w:val="28"/>
                <w:szCs w:val="28"/>
                <w:lang w:eastAsia="zh-CN"/>
              </w:rPr>
              <w:t>没有宣布失效，该</w:t>
            </w:r>
            <w:r>
              <w:rPr>
                <w:rFonts w:hint="eastAsia" w:cs="Times New Roman"/>
                <w:sz w:val="28"/>
                <w:szCs w:val="28"/>
                <w:lang w:eastAsia="zh-CN"/>
              </w:rPr>
              <w:t>规范性文件</w:t>
            </w:r>
            <w:r>
              <w:rPr>
                <w:rFonts w:hint="eastAsia" w:ascii="Times New Roman" w:hAnsi="Times New Roman" w:eastAsia="仿宋_GB2312" w:cs="Times New Roman"/>
                <w:sz w:val="28"/>
                <w:szCs w:val="28"/>
                <w:lang w:eastAsia="zh-CN"/>
              </w:rPr>
              <w:t>是在以上文件的基础上制定的，建议继续使用。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1335" w:type="dxa"/>
            <w:vMerge w:val="restart"/>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区市场监管局</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《柳州市鱼峰区特种设备事故应急预案》</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鱼府规</w:t>
            </w:r>
            <w:r>
              <w:rPr>
                <w:rFonts w:hint="eastAsia" w:ascii="Times New Roman" w:hAnsi="Times New Roman" w:eastAsia="仿宋_GB2312" w:cs="Times New Roman"/>
                <w:sz w:val="28"/>
                <w:szCs w:val="28"/>
                <w:lang w:val="en-US" w:eastAsia="zh-CN"/>
              </w:rPr>
              <w:t>〔2022〕4号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2022年8月26日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该预案是依据《中华人民共和国特种设备安全法》第六十九条的规定和《柳州市人民政府关于印发柳州市特种设备事故应急预案（2021年修订）的通知》（柳政规〔2021〕16号）文件要求制定，目前上述法律和规范性文件均没有宣布失效，所以建议继续使用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11</w:t>
            </w:r>
          </w:p>
        </w:tc>
        <w:tc>
          <w:tcPr>
            <w:tcW w:w="1335" w:type="dxa"/>
            <w:vMerge w:val="continue"/>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《鱼峰区药品和医疗器械安全突发事件应急预案》（2022年修订版）</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鱼府规〔2022〕5号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2022年9月30日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根据《中华人民共和国突发事件应对法》《中华人民共和国药品管理法》《中华人民共和国药品管理法实施条例》《医疗器械监督管理条例》《麻醉药品和精神药品管理条例》《药品不良反应报告和监测管理办法》《药品召回管理办法》《医疗器械召回管理办法》《医疗器械不良事件监测和再评价管理办法》《药品和医疗器械安全突发事件应急预案（试行）》《广西壮族自治区药品和医疗器械安全突发事件应急预案》《广西壮族自治区人民政府突发公共事件总体应急预案》和《柳州市突发公共卫生事件应急预案》等法律、法规及相关文件，结合我区实际修订，目前上述法律和规范性文件均没有宣布失效，所以建议继续使用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12</w:t>
            </w:r>
          </w:p>
        </w:tc>
        <w:tc>
          <w:tcPr>
            <w:tcW w:w="1335" w:type="dxa"/>
            <w:vMerge w:val="continue"/>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《鱼峰区疫苗安全事件应急预案（试行）》</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鱼府规〔2022〕6号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2022年9月30日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根据《中华人民共和国突发事件应对法》《中华人民共和国药品管理法》《中华人民共和国疫苗管理法》《关于改革和完善疫苗管理体制的意见》（中办发〔2018〕70号）《药品和医疗器械安全突发事件应急预案（试行）》（国食药监办〔2011〕370号）《全国疑似预防接种异常反应监测方案》（卫办疾控发〔2010〕94号）《广西壮族自治区疫苗安全事件应急预案（试行）》等法律、法规及相关文件，结合我区实际制定</w:t>
            </w:r>
            <w:r>
              <w:rPr>
                <w:rFonts w:hint="eastAsia" w:cs="Times New Roman"/>
                <w:sz w:val="28"/>
                <w:szCs w:val="28"/>
                <w:lang w:eastAsia="zh-CN"/>
              </w:rPr>
              <w:t>，</w:t>
            </w:r>
            <w:r>
              <w:rPr>
                <w:rFonts w:hint="eastAsia" w:ascii="Times New Roman" w:hAnsi="Times New Roman" w:eastAsia="仿宋_GB2312" w:cs="Times New Roman"/>
                <w:sz w:val="28"/>
                <w:szCs w:val="28"/>
                <w:lang w:eastAsia="zh-CN"/>
              </w:rPr>
              <w:t>目前上述法律和规范性文件均没有宣布失效，所以建议继续使用该预案。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13</w:t>
            </w:r>
          </w:p>
        </w:tc>
        <w:tc>
          <w:tcPr>
            <w:tcW w:w="1335" w:type="dxa"/>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区应急局</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eastAsia="zh-CN"/>
              </w:rPr>
              <w:t>鱼峰区</w:t>
            </w:r>
            <w:r>
              <w:rPr>
                <w:rFonts w:hint="default" w:ascii="Times New Roman" w:hAnsi="Times New Roman" w:eastAsia="仿宋_GB2312" w:cs="Times New Roman"/>
                <w:sz w:val="28"/>
                <w:szCs w:val="28"/>
                <w:lang w:eastAsia="zh-CN"/>
              </w:rPr>
              <w:t>突发事件</w:t>
            </w:r>
            <w:r>
              <w:rPr>
                <w:rFonts w:hint="eastAsia" w:ascii="Times New Roman" w:hAnsi="Times New Roman" w:eastAsia="仿宋_GB2312" w:cs="Times New Roman"/>
                <w:sz w:val="28"/>
                <w:szCs w:val="28"/>
                <w:lang w:eastAsia="zh-CN"/>
              </w:rPr>
              <w:t>总体</w:t>
            </w:r>
            <w:r>
              <w:rPr>
                <w:rFonts w:hint="default" w:ascii="Times New Roman" w:hAnsi="Times New Roman" w:eastAsia="仿宋_GB2312" w:cs="Times New Roman"/>
                <w:sz w:val="28"/>
                <w:szCs w:val="28"/>
                <w:lang w:eastAsia="zh-CN"/>
              </w:rPr>
              <w:t>应急预案》</w:t>
            </w:r>
          </w:p>
          <w:p>
            <w:pPr>
              <w:adjustRightInd w:val="0"/>
              <w:snapToGrid w:val="0"/>
              <w:jc w:val="both"/>
              <w:rPr>
                <w:rFonts w:hint="eastAsia" w:ascii="Times New Roman" w:hAnsi="Times New Roman" w:eastAsia="仿宋_GB2312" w:cs="Times New Roman"/>
                <w:sz w:val="28"/>
                <w:szCs w:val="28"/>
                <w:lang w:eastAsia="zh-CN"/>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鱼府规〔20</w:t>
            </w:r>
            <w:r>
              <w:rPr>
                <w:rFonts w:hint="eastAsia" w:ascii="Times New Roman" w:hAnsi="Times New Roman" w:eastAsia="仿宋_GB2312" w:cs="Times New Roman"/>
                <w:sz w:val="28"/>
                <w:szCs w:val="28"/>
                <w:lang w:val="en-US" w:eastAsia="zh-CN"/>
              </w:rPr>
              <w:t>18</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3</w:t>
            </w:r>
            <w:r>
              <w:rPr>
                <w:rFonts w:hint="eastAsia" w:ascii="Times New Roman" w:hAnsi="Times New Roman" w:eastAsia="仿宋_GB2312" w:cs="Times New Roman"/>
                <w:sz w:val="28"/>
                <w:szCs w:val="28"/>
                <w:lang w:eastAsia="zh-CN"/>
              </w:rPr>
              <w:t>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2018年11月16日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根据《中华人民共和国突发事件应对法》《广西壮族自治区实施&lt;中华人民共和国突发事件应对法&gt;办法》《广西壮族自治区人民政府突发公共事件总体应急预案》《柳州市突发事件总体应急预案》等相关法律、法规、规章和文件制定本预案。目前上述法律和规范性文件均没有宣布失效，所以建议继续使用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14</w:t>
            </w:r>
          </w:p>
        </w:tc>
        <w:tc>
          <w:tcPr>
            <w:tcW w:w="1335" w:type="dxa"/>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区自然资源局</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《柳州市鱼峰区农房建设规划管控办法（试行）》</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鱼府规﹝</w:t>
            </w:r>
            <w:r>
              <w:rPr>
                <w:rFonts w:hint="eastAsia" w:ascii="Times New Roman" w:hAnsi="Times New Roman" w:eastAsia="仿宋_GB2312" w:cs="Times New Roman"/>
                <w:sz w:val="28"/>
                <w:szCs w:val="28"/>
                <w:lang w:val="en-US" w:eastAsia="zh-CN"/>
              </w:rPr>
              <w:t>2021</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3号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2021年12月15日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根据《鱼峰区人民政府关于印发</w:t>
            </w:r>
            <w:r>
              <w:rPr>
                <w:rFonts w:hint="eastAsia" w:ascii="Times New Roman" w:hAnsi="Times New Roman" w:eastAsia="仿宋_GB2312" w:cs="Times New Roman"/>
                <w:sz w:val="28"/>
                <w:szCs w:val="28"/>
                <w:lang w:val="en-US" w:eastAsia="zh-CN"/>
              </w:rPr>
              <w:t>&lt;</w:t>
            </w:r>
            <w:r>
              <w:rPr>
                <w:rFonts w:hint="eastAsia" w:ascii="Times New Roman" w:hAnsi="Times New Roman" w:eastAsia="仿宋_GB2312" w:cs="Times New Roman"/>
                <w:sz w:val="28"/>
                <w:szCs w:val="28"/>
                <w:lang w:eastAsia="zh-CN"/>
              </w:rPr>
              <w:t>柳州市鱼峰区农房建设规划管控办法（试行）</w:t>
            </w:r>
            <w:r>
              <w:rPr>
                <w:rFonts w:hint="eastAsia" w:ascii="Times New Roman" w:hAnsi="Times New Roman" w:eastAsia="仿宋_GB2312" w:cs="Times New Roman"/>
                <w:sz w:val="28"/>
                <w:szCs w:val="28"/>
                <w:lang w:val="en-US" w:eastAsia="zh-CN"/>
              </w:rPr>
              <w:t>&gt;</w:t>
            </w:r>
            <w:r>
              <w:rPr>
                <w:rFonts w:hint="eastAsia" w:ascii="Times New Roman" w:hAnsi="Times New Roman" w:eastAsia="仿宋_GB2312" w:cs="Times New Roman"/>
                <w:sz w:val="28"/>
                <w:szCs w:val="28"/>
                <w:lang w:eastAsia="zh-CN"/>
              </w:rPr>
              <w:t>的通知（鱼府规﹝</w:t>
            </w:r>
            <w:r>
              <w:rPr>
                <w:rFonts w:hint="eastAsia" w:ascii="Times New Roman" w:hAnsi="Times New Roman" w:eastAsia="仿宋_GB2312" w:cs="Times New Roman"/>
                <w:sz w:val="28"/>
                <w:szCs w:val="28"/>
                <w:lang w:val="en-US" w:eastAsia="zh-CN"/>
              </w:rPr>
              <w:t>2021</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3号</w:t>
            </w:r>
            <w:r>
              <w:rPr>
                <w:rFonts w:hint="eastAsia" w:ascii="Times New Roman" w:hAnsi="Times New Roman" w:eastAsia="仿宋_GB2312" w:cs="Times New Roman"/>
                <w:sz w:val="28"/>
                <w:szCs w:val="28"/>
                <w:lang w:eastAsia="zh-CN"/>
              </w:rPr>
              <w:t>）》第二十三条，“本办法自发布之日起执行，试行三年”。本《办法》发布日期为</w:t>
            </w:r>
            <w:r>
              <w:rPr>
                <w:rFonts w:hint="eastAsia" w:ascii="Times New Roman" w:hAnsi="Times New Roman" w:eastAsia="仿宋_GB2312" w:cs="Times New Roman"/>
                <w:sz w:val="28"/>
                <w:szCs w:val="28"/>
                <w:lang w:val="en-US" w:eastAsia="zh-CN"/>
              </w:rPr>
              <w:t>2021年12月15日，</w:t>
            </w:r>
            <w:r>
              <w:rPr>
                <w:rFonts w:hint="eastAsia" w:ascii="Times New Roman" w:hAnsi="Times New Roman" w:eastAsia="仿宋_GB2312" w:cs="Times New Roman"/>
                <w:sz w:val="28"/>
                <w:szCs w:val="28"/>
                <w:lang w:eastAsia="zh-CN"/>
              </w:rPr>
              <w:t>应执行至</w:t>
            </w:r>
            <w:r>
              <w:rPr>
                <w:rFonts w:hint="eastAsia" w:ascii="Times New Roman" w:hAnsi="Times New Roman" w:eastAsia="仿宋_GB2312" w:cs="Times New Roman"/>
                <w:sz w:val="28"/>
                <w:szCs w:val="28"/>
                <w:lang w:val="en-US" w:eastAsia="zh-CN"/>
              </w:rPr>
              <w:t>2024年12月15日，目前仍在试行期内，所以建议继续使用。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15</w:t>
            </w:r>
          </w:p>
        </w:tc>
        <w:tc>
          <w:tcPr>
            <w:tcW w:w="1335" w:type="dxa"/>
            <w:vMerge w:val="restart"/>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区卫健局</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《鱼峰区计划生育特殊家庭扶助实施方案（修订版）》</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鱼府规〔2020〕4号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sz w:val="28"/>
                <w:szCs w:val="28"/>
                <w:lang w:val="en-US" w:eastAsia="zh-CN"/>
              </w:rPr>
            </w:pPr>
            <w:r>
              <w:rPr>
                <w:rFonts w:hint="eastAsia" w:cs="Times New Roman"/>
                <w:sz w:val="28"/>
                <w:szCs w:val="28"/>
                <w:lang w:val="en-US" w:eastAsia="zh-CN"/>
              </w:rPr>
              <w:t>2020年4月14日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上级部门文件均没有宣布失效，且暂未出台新的（修订的）相关指导文件，故继续生效。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16</w:t>
            </w:r>
          </w:p>
        </w:tc>
        <w:tc>
          <w:tcPr>
            <w:tcW w:w="1335" w:type="dxa"/>
            <w:vMerge w:val="continue"/>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《鱼峰区改革完善全科医生培养与使用激励机制实施方案》</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鱼府规〔2020〕</w:t>
            </w:r>
            <w:r>
              <w:rPr>
                <w:rFonts w:hint="eastAsia" w:ascii="Times New Roman" w:hAnsi="Times New Roman" w:eastAsia="仿宋_GB2312" w:cs="Times New Roman"/>
                <w:sz w:val="28"/>
                <w:szCs w:val="28"/>
                <w:lang w:val="en-US" w:eastAsia="zh-CN"/>
              </w:rPr>
              <w:t>7</w:t>
            </w:r>
            <w:r>
              <w:rPr>
                <w:rFonts w:hint="eastAsia" w:ascii="Times New Roman" w:hAnsi="Times New Roman" w:eastAsia="仿宋_GB2312" w:cs="Times New Roman"/>
                <w:sz w:val="28"/>
                <w:szCs w:val="28"/>
                <w:lang w:eastAsia="zh-CN"/>
              </w:rPr>
              <w:t>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2020年9月8日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上级部门文件均没有宣布失效，且暂未出台新的（修订的）相关指导文件，故继续生效。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17</w:t>
            </w:r>
          </w:p>
        </w:tc>
        <w:tc>
          <w:tcPr>
            <w:tcW w:w="1335" w:type="dxa"/>
            <w:vMerge w:val="continue"/>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《鱼峰区突发公共卫生事件应急预案（2020年修订版）》</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鱼府规〔2021〕1号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2021年2月4日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上级部门文件均没有宣布失效，且暂未出台新的（修订的）相关指导文件，故继续生效。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18</w:t>
            </w:r>
          </w:p>
        </w:tc>
        <w:tc>
          <w:tcPr>
            <w:tcW w:w="1335" w:type="dxa"/>
            <w:vMerge w:val="continue"/>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《鱼峰区乡村医生乡聘村用实施细则（试行）》</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鱼府规〔2021〕</w:t>
            </w:r>
            <w:r>
              <w:rPr>
                <w:rFonts w:hint="eastAsia"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eastAsia="zh-CN"/>
              </w:rPr>
              <w:t>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2021年4月28日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本《</w:t>
            </w:r>
            <w:r>
              <w:rPr>
                <w:rFonts w:hint="eastAsia" w:ascii="Times New Roman" w:hAnsi="Times New Roman" w:eastAsia="仿宋_GB2312" w:cs="Times New Roman"/>
                <w:sz w:val="28"/>
                <w:szCs w:val="28"/>
                <w:lang w:val="en-US" w:eastAsia="zh-CN"/>
              </w:rPr>
              <w:t>细则</w:t>
            </w:r>
            <w:r>
              <w:rPr>
                <w:rFonts w:hint="eastAsia" w:ascii="Times New Roman" w:hAnsi="Times New Roman" w:eastAsia="仿宋_GB2312" w:cs="Times New Roman"/>
                <w:sz w:val="28"/>
                <w:szCs w:val="28"/>
                <w:lang w:eastAsia="zh-CN"/>
              </w:rPr>
              <w:t>》发布日期为</w:t>
            </w:r>
            <w:r>
              <w:rPr>
                <w:rFonts w:hint="eastAsia" w:ascii="Times New Roman" w:hAnsi="Times New Roman" w:eastAsia="仿宋_GB2312" w:cs="Times New Roman"/>
                <w:sz w:val="28"/>
                <w:szCs w:val="28"/>
                <w:lang w:val="en-US" w:eastAsia="zh-CN"/>
              </w:rPr>
              <w:t>2021年4月28日，</w:t>
            </w:r>
            <w:r>
              <w:rPr>
                <w:rFonts w:hint="eastAsia" w:ascii="Times New Roman" w:hAnsi="Times New Roman" w:eastAsia="仿宋_GB2312" w:cs="Times New Roman"/>
                <w:sz w:val="28"/>
                <w:szCs w:val="28"/>
                <w:lang w:eastAsia="zh-CN"/>
              </w:rPr>
              <w:t>应执行至</w:t>
            </w:r>
            <w:r>
              <w:rPr>
                <w:rFonts w:hint="eastAsia" w:ascii="Times New Roman" w:hAnsi="Times New Roman" w:eastAsia="仿宋_GB2312" w:cs="Times New Roman"/>
                <w:sz w:val="28"/>
                <w:szCs w:val="28"/>
                <w:lang w:val="en-US" w:eastAsia="zh-CN"/>
              </w:rPr>
              <w:t>2024年4月28日，目前仍在试行期内，所以建议继续使用。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19</w:t>
            </w:r>
          </w:p>
        </w:tc>
        <w:tc>
          <w:tcPr>
            <w:tcW w:w="1335" w:type="dxa"/>
            <w:vMerge w:val="restart"/>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区教育局</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《鱼峰区乡村教师生活补助实施方案》</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鱼府规〔2019〕6号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2019年6月20日</w:t>
            </w:r>
          </w:p>
        </w:tc>
        <w:tc>
          <w:tcPr>
            <w:tcW w:w="5715" w:type="dxa"/>
            <w:tcBorders>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经</w:t>
            </w:r>
            <w:r>
              <w:rPr>
                <w:rFonts w:hint="eastAsia" w:cs="Times New Roman"/>
                <w:sz w:val="28"/>
                <w:szCs w:val="28"/>
                <w:lang w:eastAsia="zh-CN"/>
              </w:rPr>
              <w:t>与</w:t>
            </w:r>
            <w:r>
              <w:rPr>
                <w:rFonts w:hint="eastAsia" w:ascii="Times New Roman" w:hAnsi="Times New Roman" w:eastAsia="仿宋_GB2312" w:cs="Times New Roman"/>
                <w:sz w:val="28"/>
                <w:szCs w:val="28"/>
                <w:lang w:eastAsia="zh-CN"/>
              </w:rPr>
              <w:t xml:space="preserve">市教育局问询，制定的该项范性文件是在《柳州市市区公办中小学校聘用教师管理办法（试行）》（柳政规〔2018〕52号）《自治区教育厅自治区财政厅 </w:t>
            </w:r>
            <w:r>
              <w:rPr>
                <w:rFonts w:hint="eastAsia" w:cs="Times New Roman"/>
                <w:sz w:val="28"/>
                <w:szCs w:val="28"/>
                <w:lang w:eastAsia="zh-CN"/>
              </w:rPr>
              <w:t>自治区人力资源和社会保障厅</w:t>
            </w:r>
            <w:r>
              <w:rPr>
                <w:rFonts w:hint="eastAsia" w:ascii="Times New Roman" w:hAnsi="Times New Roman" w:eastAsia="仿宋_GB2312" w:cs="Times New Roman"/>
                <w:sz w:val="28"/>
                <w:szCs w:val="28"/>
                <w:lang w:eastAsia="zh-CN"/>
              </w:rPr>
              <w:t>关于进一步规范乡村教师生活补助计划实施工作的通知》（桂教〔2019〕12号）以上两个文件的基础上制定的，所以继续使用。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w:t>
            </w:r>
          </w:p>
        </w:tc>
        <w:tc>
          <w:tcPr>
            <w:tcW w:w="1335" w:type="dxa"/>
            <w:vMerge w:val="continue"/>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eastAsia="zh-CN"/>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鱼峰区第三期学前教育行动计划</w:t>
            </w:r>
            <w:r>
              <w:rPr>
                <w:rFonts w:hint="eastAsia" w:ascii="Times New Roman" w:hAnsi="Times New Roman" w:eastAsia="仿宋_GB2312" w:cs="Times New Roman"/>
                <w:sz w:val="28"/>
                <w:szCs w:val="28"/>
                <w:lang w:val="en-US" w:eastAsia="zh-CN"/>
              </w:rPr>
              <w:t>》</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鱼府规〔2019〕</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2019年3月13日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经与市教育局问询，制定该项规范性文件是根据《柳州市第三期学前教育行动计划（2017-2020年）》柳政规〔2018〕80号要求制定，是县域学前教育普及普惠督导评估工作中政府保障里面需要的文件，现我区新的学前教育行动计划还未出来，所以建议继续使用，等待新的学前教育行动计划出台后再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21</w:t>
            </w:r>
          </w:p>
        </w:tc>
        <w:tc>
          <w:tcPr>
            <w:tcW w:w="1335" w:type="dxa"/>
            <w:vMerge w:val="continue"/>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《鱼峰区闲置校产处置管理办法》</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鱼府规〔</w:t>
            </w:r>
            <w:r>
              <w:rPr>
                <w:rFonts w:hint="default" w:ascii="Times New Roman" w:hAnsi="Times New Roman" w:eastAsia="仿宋_GB2312" w:cs="Times New Roman"/>
                <w:sz w:val="28"/>
                <w:szCs w:val="28"/>
                <w:lang w:val="en-US" w:eastAsia="zh-CN"/>
              </w:rPr>
              <w:t>20</w:t>
            </w:r>
            <w:r>
              <w:rPr>
                <w:rFonts w:hint="eastAsia" w:ascii="Times New Roman" w:hAnsi="Times New Roman" w:eastAsia="仿宋_GB2312" w:cs="Times New Roman"/>
                <w:sz w:val="28"/>
                <w:szCs w:val="28"/>
                <w:lang w:val="en-US" w:eastAsia="zh-CN"/>
              </w:rPr>
              <w:t>20〕8号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2020年11月10日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经与市教育局问询，《自治区教育厅等七部门关于印发&lt;广西壮族自治区农村中小学校闲置校园校舍处置工作指导意见&gt;的通知》（桂教规范〔2020〕7号）没有宣布失效，《鱼峰区闲置校产处置管理办法》（鱼府规〔2020〕8号）是在此文件的基础上制定的，所以继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22</w:t>
            </w:r>
          </w:p>
        </w:tc>
        <w:tc>
          <w:tcPr>
            <w:tcW w:w="133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《鱼峰区统筹推进县域内城乡义务教育一体化改革发展方案》</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鱼府规〔2019〕5号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2019年5月10日</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根据《中共柳州市委教育工作委员会柳州市教育局2023年工作要点》</w:t>
            </w:r>
            <w:r>
              <w:rPr>
                <w:rFonts w:hint="eastAsia" w:cs="Times New Roman"/>
                <w:sz w:val="28"/>
                <w:szCs w:val="28"/>
                <w:lang w:val="en-US" w:eastAsia="zh-CN"/>
              </w:rPr>
              <w:t>（</w:t>
            </w:r>
            <w:r>
              <w:rPr>
                <w:rFonts w:hint="eastAsia" w:ascii="Times New Roman" w:hAnsi="Times New Roman" w:eastAsia="仿宋_GB2312" w:cs="Times New Roman"/>
                <w:sz w:val="28"/>
                <w:szCs w:val="28"/>
                <w:lang w:val="en-US" w:eastAsia="zh-CN"/>
              </w:rPr>
              <w:t>柳教工委〔202</w:t>
            </w:r>
            <w:r>
              <w:rPr>
                <w:rFonts w:hint="eastAsia" w:cs="Times New Roman"/>
                <w:sz w:val="28"/>
                <w:szCs w:val="28"/>
                <w:lang w:val="en-US" w:eastAsia="zh-CN"/>
              </w:rPr>
              <w:t>3</w:t>
            </w:r>
            <w:r>
              <w:rPr>
                <w:rFonts w:hint="eastAsia" w:ascii="Times New Roman" w:hAnsi="Times New Roman" w:eastAsia="仿宋_GB2312" w:cs="Times New Roman"/>
                <w:sz w:val="28"/>
                <w:szCs w:val="28"/>
                <w:lang w:val="en-US" w:eastAsia="zh-CN"/>
              </w:rPr>
              <w:t>〕8号</w:t>
            </w:r>
            <w:r>
              <w:rPr>
                <w:rFonts w:hint="eastAsia" w:cs="Times New Roman"/>
                <w:sz w:val="28"/>
                <w:szCs w:val="28"/>
                <w:lang w:val="en-US" w:eastAsia="zh-CN"/>
              </w:rPr>
              <w:t>）</w:t>
            </w:r>
            <w:r>
              <w:rPr>
                <w:rFonts w:hint="eastAsia" w:ascii="Times New Roman" w:hAnsi="Times New Roman" w:eastAsia="仿宋_GB2312" w:cs="Times New Roman"/>
                <w:sz w:val="28"/>
                <w:szCs w:val="28"/>
                <w:lang w:val="en-US" w:eastAsia="zh-CN"/>
              </w:rPr>
              <w:t>第18点</w:t>
            </w:r>
            <w:r>
              <w:rPr>
                <w:rFonts w:hint="eastAsia" w:cs="Times New Roman"/>
                <w:sz w:val="28"/>
                <w:szCs w:val="28"/>
                <w:lang w:val="en-US" w:eastAsia="zh-CN"/>
              </w:rPr>
              <w:t>：</w:t>
            </w:r>
            <w:r>
              <w:rPr>
                <w:rFonts w:hint="eastAsia" w:ascii="Times New Roman" w:hAnsi="Times New Roman" w:eastAsia="仿宋_GB2312" w:cs="Times New Roman"/>
                <w:sz w:val="28"/>
                <w:szCs w:val="28"/>
                <w:lang w:val="en-US" w:eastAsia="zh-CN"/>
              </w:rPr>
              <w:t>推进乡村和薄弱地区义务教育提质发展</w:t>
            </w:r>
            <w:r>
              <w:rPr>
                <w:rFonts w:hint="eastAsia" w:cs="Times New Roman"/>
                <w:sz w:val="28"/>
                <w:szCs w:val="28"/>
                <w:lang w:val="en-US" w:eastAsia="zh-CN"/>
              </w:rPr>
              <w:t>，</w:t>
            </w:r>
            <w:r>
              <w:rPr>
                <w:rFonts w:hint="eastAsia" w:ascii="Times New Roman" w:hAnsi="Times New Roman" w:eastAsia="仿宋_GB2312" w:cs="Times New Roman"/>
                <w:sz w:val="28"/>
                <w:szCs w:val="28"/>
                <w:lang w:val="en-US" w:eastAsia="zh-CN"/>
              </w:rPr>
              <w:t>实施城乡一体化发展，推进集团化办学和学区化管理，完善考核机制，促进校际间管理、教学、教研紧密融合，助力加快县域优质均衡，所以继续使用。</w:t>
            </w:r>
          </w:p>
        </w:tc>
      </w:tr>
    </w:tbl>
    <w:p>
      <w:pPr>
        <w:adjustRightInd w:val="0"/>
        <w:snapToGrid w:val="0"/>
        <w:jc w:val="center"/>
        <w:rPr>
          <w:rFonts w:hint="eastAsia" w:ascii="Times New Roman" w:hAnsi="Times New Roman" w:eastAsia="仿宋_GB2312" w:cs="Times New Roman"/>
          <w:sz w:val="28"/>
          <w:szCs w:val="28"/>
          <w:lang w:eastAsia="zh-CN"/>
        </w:rPr>
      </w:pPr>
    </w:p>
    <w:p>
      <w:pPr>
        <w:adjustRightInd w:val="0"/>
        <w:snapToGrid w:val="0"/>
        <w:spacing w:line="560" w:lineRule="exact"/>
        <w:jc w:val="left"/>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eastAsia="zh-CN"/>
        </w:rPr>
        <w:t>附件</w:t>
      </w:r>
      <w:r>
        <w:rPr>
          <w:rFonts w:hint="eastAsia" w:ascii="黑体" w:hAnsi="黑体" w:eastAsia="黑体" w:cs="黑体"/>
          <w:bCs/>
          <w:color w:val="000000"/>
          <w:sz w:val="32"/>
          <w:szCs w:val="32"/>
          <w:lang w:val="en-US" w:eastAsia="zh-CN"/>
        </w:rPr>
        <w:t>2：</w:t>
      </w:r>
    </w:p>
    <w:p>
      <w:pPr>
        <w:adjustRightInd w:val="0"/>
        <w:snapToGrid w:val="0"/>
        <w:spacing w:line="560" w:lineRule="exact"/>
        <w:jc w:val="center"/>
        <w:rPr>
          <w:rFonts w:hint="eastAsia"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bCs/>
          <w:color w:val="000000"/>
          <w:sz w:val="44"/>
          <w:szCs w:val="44"/>
        </w:rPr>
        <w:t>修改的区人民政府行政规范性文件目录</w:t>
      </w:r>
    </w:p>
    <w:tbl>
      <w:tblPr>
        <w:tblStyle w:val="16"/>
        <w:tblpPr w:leftFromText="180" w:rightFromText="180" w:vertAnchor="text" w:horzAnchor="page" w:tblpX="1555" w:tblpY="827"/>
        <w:tblOverlap w:val="never"/>
        <w:tblW w:w="13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00"/>
        <w:gridCol w:w="1425"/>
        <w:gridCol w:w="3665"/>
        <w:gridCol w:w="1885"/>
        <w:gridCol w:w="1610"/>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6" w:hRule="atLeast"/>
        </w:trPr>
        <w:tc>
          <w:tcPr>
            <w:tcW w:w="900"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黑体" w:hAnsi="黑体" w:eastAsia="黑体" w:cs="Times New Roman"/>
                <w:sz w:val="28"/>
                <w:szCs w:val="28"/>
              </w:rPr>
            </w:pPr>
            <w:r>
              <w:rPr>
                <w:rFonts w:hint="eastAsia" w:ascii="黑体" w:hAnsi="黑体" w:eastAsia="黑体" w:cs="Times New Roman"/>
                <w:sz w:val="28"/>
                <w:szCs w:val="28"/>
              </w:rPr>
              <w:t>序</w:t>
            </w:r>
            <w:r>
              <w:rPr>
                <w:rFonts w:ascii="黑体" w:hAnsi="黑体" w:eastAsia="黑体" w:cs="Times New Roman"/>
                <w:sz w:val="28"/>
                <w:szCs w:val="28"/>
              </w:rPr>
              <w:t>号</w:t>
            </w:r>
          </w:p>
        </w:tc>
        <w:tc>
          <w:tcPr>
            <w:tcW w:w="1425"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牵头起草部门</w:t>
            </w:r>
          </w:p>
        </w:tc>
        <w:tc>
          <w:tcPr>
            <w:tcW w:w="3665" w:type="dxa"/>
            <w:tcBorders>
              <w:top w:val="single" w:color="auto" w:sz="4" w:space="0"/>
              <w:left w:val="single" w:color="auto" w:sz="4" w:space="0"/>
              <w:right w:val="single" w:color="auto" w:sz="4" w:space="0"/>
            </w:tcBorders>
            <w:noWrap w:val="0"/>
            <w:vAlign w:val="center"/>
          </w:tcPr>
          <w:p>
            <w:pPr>
              <w:adjustRightInd w:val="0"/>
              <w:snapToGrid w:val="0"/>
              <w:jc w:val="center"/>
              <w:rPr>
                <w:rFonts w:ascii="黑体" w:hAnsi="黑体" w:eastAsia="黑体" w:cs="Times New Roman"/>
                <w:sz w:val="28"/>
                <w:szCs w:val="28"/>
              </w:rPr>
            </w:pPr>
            <w:r>
              <w:rPr>
                <w:rFonts w:ascii="黑体" w:hAnsi="黑体" w:eastAsia="黑体" w:cs="Times New Roman"/>
                <w:sz w:val="28"/>
                <w:szCs w:val="28"/>
              </w:rPr>
              <w:t>名称</w:t>
            </w:r>
          </w:p>
        </w:tc>
        <w:tc>
          <w:tcPr>
            <w:tcW w:w="1885" w:type="dxa"/>
            <w:tcBorders>
              <w:top w:val="single" w:color="auto" w:sz="4" w:space="0"/>
              <w:left w:val="single" w:color="auto" w:sz="4" w:space="0"/>
              <w:right w:val="single" w:color="auto" w:sz="4" w:space="0"/>
            </w:tcBorders>
            <w:noWrap w:val="0"/>
            <w:vAlign w:val="center"/>
          </w:tcPr>
          <w:p>
            <w:pPr>
              <w:adjustRightInd w:val="0"/>
              <w:snapToGrid w:val="0"/>
              <w:jc w:val="center"/>
              <w:rPr>
                <w:rFonts w:ascii="黑体" w:hAnsi="黑体" w:eastAsia="黑体" w:cs="Times New Roman"/>
                <w:sz w:val="28"/>
                <w:szCs w:val="28"/>
              </w:rPr>
            </w:pPr>
            <w:r>
              <w:rPr>
                <w:rFonts w:ascii="黑体" w:hAnsi="黑体" w:eastAsia="黑体" w:cs="Times New Roman"/>
                <w:sz w:val="28"/>
                <w:szCs w:val="28"/>
              </w:rPr>
              <w:t>文号</w:t>
            </w:r>
          </w:p>
        </w:tc>
        <w:tc>
          <w:tcPr>
            <w:tcW w:w="1610" w:type="dxa"/>
            <w:tcBorders>
              <w:top w:val="single" w:color="auto" w:sz="4" w:space="0"/>
              <w:left w:val="single" w:color="auto" w:sz="4" w:space="0"/>
              <w:right w:val="single" w:color="auto" w:sz="4" w:space="0"/>
            </w:tcBorders>
            <w:noWrap w:val="0"/>
            <w:vAlign w:val="center"/>
          </w:tcPr>
          <w:p>
            <w:pPr>
              <w:adjustRightInd w:val="0"/>
              <w:snapToGrid w:val="0"/>
              <w:jc w:val="center"/>
              <w:rPr>
                <w:rFonts w:ascii="黑体" w:hAnsi="黑体" w:eastAsia="黑体" w:cs="Times New Roman"/>
                <w:sz w:val="28"/>
                <w:szCs w:val="28"/>
              </w:rPr>
            </w:pPr>
            <w:r>
              <w:rPr>
                <w:rFonts w:ascii="黑体" w:hAnsi="黑体" w:eastAsia="黑体" w:cs="Times New Roman"/>
                <w:sz w:val="28"/>
                <w:szCs w:val="28"/>
              </w:rPr>
              <w:t>发布时间</w:t>
            </w:r>
          </w:p>
        </w:tc>
        <w:tc>
          <w:tcPr>
            <w:tcW w:w="4420"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拟修改</w:t>
            </w:r>
            <w:r>
              <w:rPr>
                <w:rFonts w:ascii="黑体" w:hAnsi="黑体" w:eastAsia="黑体" w:cs="Times New Roman"/>
                <w:sz w:val="28"/>
                <w:szCs w:val="28"/>
              </w:rPr>
              <w:t>的依据和理由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区工信局</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《鱼峰区新增规模以上工业企业奖励暂行办法》</w:t>
            </w:r>
          </w:p>
        </w:tc>
        <w:tc>
          <w:tcPr>
            <w:tcW w:w="1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鱼府规〔2020〕2号</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2020年3月4日</w:t>
            </w:r>
          </w:p>
        </w:tc>
        <w:tc>
          <w:tcPr>
            <w:tcW w:w="44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val="en-US" w:eastAsia="zh-CN"/>
              </w:rPr>
            </w:pPr>
            <w:r>
              <w:rPr>
                <w:rFonts w:hint="eastAsia" w:ascii="仿宋_GB2312" w:hAnsi="Times New Roman" w:eastAsia="仿宋_GB2312" w:cs="Times New Roman"/>
                <w:color w:val="000000"/>
                <w:sz w:val="28"/>
                <w:szCs w:val="28"/>
              </w:rPr>
              <w:t>暂行办法已过两年时效，拟根据实际工作修订部分条款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区科技局</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《鱼峰区支持高新技术企业发展暂行办法》的通知</w:t>
            </w:r>
          </w:p>
        </w:tc>
        <w:tc>
          <w:tcPr>
            <w:tcW w:w="1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鱼府规〔2018〕1号</w:t>
            </w:r>
          </w:p>
          <w:p>
            <w:pPr>
              <w:adjustRightInd w:val="0"/>
              <w:snapToGrid w:val="0"/>
              <w:jc w:val="center"/>
              <w:rPr>
                <w:rFonts w:hint="eastAsia" w:ascii="Times New Roman" w:hAnsi="Times New Roman" w:eastAsia="仿宋_GB2312" w:cs="Times New Roman"/>
                <w:sz w:val="28"/>
                <w:szCs w:val="28"/>
                <w:lang w:val="en-US" w:eastAsia="zh-CN"/>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2018年4月27日</w:t>
            </w:r>
          </w:p>
        </w:tc>
        <w:tc>
          <w:tcPr>
            <w:tcW w:w="44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val="en-US" w:eastAsia="zh-CN"/>
              </w:rPr>
            </w:pPr>
            <w:r>
              <w:rPr>
                <w:rFonts w:hint="eastAsia" w:ascii="仿宋_GB2312" w:hAnsi="Times New Roman" w:eastAsia="仿宋_GB2312" w:cs="Times New Roman"/>
                <w:color w:val="000000"/>
                <w:sz w:val="28"/>
                <w:szCs w:val="28"/>
              </w:rPr>
              <w:t>暂行办法已过两年时效，拟根据实际工作修订部分条款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区司法局</w:t>
            </w:r>
          </w:p>
        </w:tc>
        <w:tc>
          <w:tcPr>
            <w:tcW w:w="3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《柳州市鱼峰区行政执法监督办法（试行）》</w:t>
            </w:r>
          </w:p>
        </w:tc>
        <w:tc>
          <w:tcPr>
            <w:tcW w:w="1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鱼府规〔2020〕5号</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2020年5月8日</w:t>
            </w:r>
          </w:p>
        </w:tc>
        <w:tc>
          <w:tcPr>
            <w:tcW w:w="44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试行办法已过两年时效，拟根据实际工作修订部分条款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trPr>
        <w:tc>
          <w:tcPr>
            <w:tcW w:w="900"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4</w:t>
            </w:r>
          </w:p>
        </w:tc>
        <w:tc>
          <w:tcPr>
            <w:tcW w:w="1425"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区教育局</w:t>
            </w:r>
          </w:p>
        </w:tc>
        <w:tc>
          <w:tcPr>
            <w:tcW w:w="3665"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eastAsia="zh-CN"/>
              </w:rPr>
              <w:t>《鱼峰区使用聘用教师控制数教师考核入编方案（试行）》</w:t>
            </w:r>
          </w:p>
        </w:tc>
        <w:tc>
          <w:tcPr>
            <w:tcW w:w="1885"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eastAsia="zh-CN"/>
              </w:rPr>
              <w:t>鱼府规〔2019〕4号</w:t>
            </w:r>
          </w:p>
        </w:tc>
        <w:tc>
          <w:tcPr>
            <w:tcW w:w="1610"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2019年3月13日</w:t>
            </w:r>
          </w:p>
        </w:tc>
        <w:tc>
          <w:tcPr>
            <w:tcW w:w="4420"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试行办法已过两年时效，拟根据实际工作修订部分条款</w:t>
            </w:r>
          </w:p>
        </w:tc>
      </w:tr>
    </w:tbl>
    <w:p>
      <w:pPr>
        <w:adjustRightInd w:val="0"/>
        <w:snapToGrid w:val="0"/>
        <w:spacing w:line="560" w:lineRule="exact"/>
        <w:jc w:val="left"/>
        <w:rPr>
          <w:rFonts w:hint="eastAsia" w:ascii="黑体" w:hAnsi="黑体" w:eastAsia="黑体" w:cs="黑体"/>
          <w:bCs/>
          <w:color w:val="000000"/>
          <w:sz w:val="32"/>
          <w:szCs w:val="32"/>
          <w:lang w:eastAsia="zh-CN"/>
        </w:rPr>
      </w:pPr>
    </w:p>
    <w:p>
      <w:pPr>
        <w:adjustRightInd w:val="0"/>
        <w:snapToGrid w:val="0"/>
        <w:spacing w:line="560" w:lineRule="exact"/>
        <w:jc w:val="left"/>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eastAsia="zh-CN"/>
        </w:rPr>
        <w:t>附件</w:t>
      </w:r>
      <w:r>
        <w:rPr>
          <w:rFonts w:hint="eastAsia" w:ascii="黑体" w:hAnsi="黑体" w:eastAsia="黑体" w:cs="黑体"/>
          <w:bCs/>
          <w:color w:val="000000"/>
          <w:sz w:val="32"/>
          <w:szCs w:val="32"/>
          <w:lang w:val="en-US" w:eastAsia="zh-CN"/>
        </w:rPr>
        <w:t>3：</w:t>
      </w:r>
    </w:p>
    <w:p>
      <w:pPr>
        <w:adjustRightInd w:val="0"/>
        <w:snapToGrid w:val="0"/>
        <w:spacing w:line="560" w:lineRule="exact"/>
        <w:jc w:val="center"/>
        <w:rPr>
          <w:rFonts w:hint="eastAsia"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bCs/>
          <w:color w:val="000000"/>
          <w:sz w:val="44"/>
          <w:szCs w:val="44"/>
          <w:lang w:eastAsia="zh-CN"/>
        </w:rPr>
        <w:t>废止</w:t>
      </w:r>
      <w:r>
        <w:rPr>
          <w:rFonts w:hint="eastAsia" w:ascii="方正小标宋简体" w:hAnsi="Times New Roman" w:eastAsia="方正小标宋简体" w:cs="Times New Roman"/>
          <w:bCs/>
          <w:color w:val="000000"/>
          <w:sz w:val="44"/>
          <w:szCs w:val="44"/>
        </w:rPr>
        <w:t>的区人民政府行政规范性文件目录</w:t>
      </w:r>
    </w:p>
    <w:tbl>
      <w:tblPr>
        <w:tblStyle w:val="16"/>
        <w:tblpPr w:leftFromText="180" w:rightFromText="180" w:vertAnchor="text" w:horzAnchor="page" w:tblpX="1495" w:tblpY="266"/>
        <w:tblOverlap w:val="never"/>
        <w:tblW w:w="14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5"/>
        <w:gridCol w:w="1395"/>
        <w:gridCol w:w="3030"/>
        <w:gridCol w:w="1770"/>
        <w:gridCol w:w="1800"/>
        <w:gridCol w:w="5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trPr>
        <w:tc>
          <w:tcPr>
            <w:tcW w:w="765"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黑体" w:hAnsi="黑体" w:eastAsia="黑体" w:cs="Times New Roman"/>
                <w:sz w:val="28"/>
                <w:szCs w:val="28"/>
              </w:rPr>
            </w:pPr>
            <w:r>
              <w:rPr>
                <w:rFonts w:hint="eastAsia" w:ascii="黑体" w:hAnsi="黑体" w:eastAsia="黑体" w:cs="Times New Roman"/>
                <w:sz w:val="28"/>
                <w:szCs w:val="28"/>
              </w:rPr>
              <w:t>序</w:t>
            </w:r>
            <w:r>
              <w:rPr>
                <w:rFonts w:ascii="黑体" w:hAnsi="黑体" w:eastAsia="黑体" w:cs="Times New Roman"/>
                <w:sz w:val="28"/>
                <w:szCs w:val="28"/>
              </w:rPr>
              <w:t>号</w:t>
            </w:r>
          </w:p>
        </w:tc>
        <w:tc>
          <w:tcPr>
            <w:tcW w:w="1395"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牵头起草部门</w:t>
            </w:r>
          </w:p>
        </w:tc>
        <w:tc>
          <w:tcPr>
            <w:tcW w:w="3030" w:type="dxa"/>
            <w:tcBorders>
              <w:top w:val="single" w:color="auto" w:sz="4" w:space="0"/>
              <w:left w:val="single" w:color="auto" w:sz="4" w:space="0"/>
              <w:right w:val="single" w:color="auto" w:sz="4" w:space="0"/>
            </w:tcBorders>
            <w:noWrap w:val="0"/>
            <w:vAlign w:val="center"/>
          </w:tcPr>
          <w:p>
            <w:pPr>
              <w:adjustRightInd w:val="0"/>
              <w:snapToGrid w:val="0"/>
              <w:jc w:val="center"/>
              <w:rPr>
                <w:rFonts w:ascii="黑体" w:hAnsi="黑体" w:eastAsia="黑体" w:cs="Times New Roman"/>
                <w:sz w:val="28"/>
                <w:szCs w:val="28"/>
              </w:rPr>
            </w:pPr>
            <w:r>
              <w:rPr>
                <w:rFonts w:ascii="黑体" w:hAnsi="黑体" w:eastAsia="黑体" w:cs="Times New Roman"/>
                <w:sz w:val="28"/>
                <w:szCs w:val="28"/>
              </w:rPr>
              <w:t>名称</w:t>
            </w:r>
          </w:p>
        </w:tc>
        <w:tc>
          <w:tcPr>
            <w:tcW w:w="1770" w:type="dxa"/>
            <w:tcBorders>
              <w:top w:val="single" w:color="auto" w:sz="4" w:space="0"/>
              <w:left w:val="single" w:color="auto" w:sz="4" w:space="0"/>
              <w:right w:val="single" w:color="auto" w:sz="4" w:space="0"/>
            </w:tcBorders>
            <w:noWrap w:val="0"/>
            <w:vAlign w:val="center"/>
          </w:tcPr>
          <w:p>
            <w:pPr>
              <w:adjustRightInd w:val="0"/>
              <w:snapToGrid w:val="0"/>
              <w:jc w:val="center"/>
              <w:rPr>
                <w:rFonts w:ascii="黑体" w:hAnsi="黑体" w:eastAsia="黑体" w:cs="Times New Roman"/>
                <w:sz w:val="28"/>
                <w:szCs w:val="28"/>
              </w:rPr>
            </w:pPr>
            <w:r>
              <w:rPr>
                <w:rFonts w:ascii="黑体" w:hAnsi="黑体" w:eastAsia="黑体" w:cs="Times New Roman"/>
                <w:sz w:val="28"/>
                <w:szCs w:val="28"/>
              </w:rPr>
              <w:t>文号</w:t>
            </w:r>
          </w:p>
        </w:tc>
        <w:tc>
          <w:tcPr>
            <w:tcW w:w="1800" w:type="dxa"/>
            <w:tcBorders>
              <w:top w:val="single" w:color="auto" w:sz="4" w:space="0"/>
              <w:left w:val="single" w:color="auto" w:sz="4" w:space="0"/>
              <w:right w:val="single" w:color="auto" w:sz="4" w:space="0"/>
            </w:tcBorders>
            <w:noWrap w:val="0"/>
            <w:vAlign w:val="center"/>
          </w:tcPr>
          <w:p>
            <w:pPr>
              <w:adjustRightInd w:val="0"/>
              <w:snapToGrid w:val="0"/>
              <w:jc w:val="center"/>
              <w:rPr>
                <w:rFonts w:ascii="黑体" w:hAnsi="黑体" w:eastAsia="黑体" w:cs="Times New Roman"/>
                <w:sz w:val="28"/>
                <w:szCs w:val="28"/>
              </w:rPr>
            </w:pPr>
            <w:r>
              <w:rPr>
                <w:rFonts w:ascii="黑体" w:hAnsi="黑体" w:eastAsia="黑体" w:cs="Times New Roman"/>
                <w:sz w:val="28"/>
                <w:szCs w:val="28"/>
              </w:rPr>
              <w:t>发布时间</w:t>
            </w:r>
          </w:p>
        </w:tc>
        <w:tc>
          <w:tcPr>
            <w:tcW w:w="5325"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废止</w:t>
            </w:r>
            <w:r>
              <w:rPr>
                <w:rFonts w:ascii="黑体" w:hAnsi="黑体" w:eastAsia="黑体" w:cs="Times New Roman"/>
                <w:sz w:val="28"/>
                <w:szCs w:val="28"/>
              </w:rPr>
              <w:t>的依据和理由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区市场监管局</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《鱼峰区药品和医疗器械安全事故应急预案》</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鱼政办发〔2017〕45号</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2017年8月10日</w:t>
            </w:r>
          </w:p>
        </w:tc>
        <w:tc>
          <w:tcPr>
            <w:tcW w:w="53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Times New Roman" w:eastAsia="仿宋_GB2312" w:cs="Times New Roman"/>
                <w:color w:val="000000"/>
                <w:sz w:val="28"/>
                <w:szCs w:val="28"/>
                <w:lang w:eastAsia="zh-CN"/>
              </w:rPr>
            </w:pPr>
            <w:r>
              <w:rPr>
                <w:rFonts w:hint="eastAsia" w:ascii="仿宋_GB2312" w:hAnsi="Times New Roman" w:eastAsia="仿宋_GB2312" w:cs="Times New Roman"/>
                <w:b/>
                <w:bCs/>
                <w:color w:val="000000"/>
                <w:sz w:val="28"/>
                <w:szCs w:val="28"/>
                <w:lang w:eastAsia="zh-CN"/>
              </w:rPr>
              <w:t>依据：</w:t>
            </w:r>
            <w:r>
              <w:rPr>
                <w:rFonts w:hint="eastAsia" w:ascii="仿宋_GB2312" w:hAnsi="Times New Roman" w:eastAsia="仿宋_GB2312" w:cs="Times New Roman"/>
                <w:b w:val="0"/>
                <w:bCs w:val="0"/>
                <w:color w:val="000000"/>
                <w:sz w:val="28"/>
                <w:szCs w:val="28"/>
                <w:lang w:eastAsia="zh-CN"/>
              </w:rPr>
              <w:t>《</w:t>
            </w:r>
            <w:r>
              <w:rPr>
                <w:rFonts w:hint="eastAsia" w:ascii="仿宋_GB2312" w:hAnsi="Times New Roman" w:eastAsia="仿宋_GB2312" w:cs="Times New Roman"/>
                <w:color w:val="000000"/>
                <w:sz w:val="28"/>
                <w:szCs w:val="28"/>
                <w:lang w:eastAsia="zh-CN"/>
              </w:rPr>
              <w:t>鱼峰区药品和医疗器械安全突发事件应急预案（2022年修订版）》</w:t>
            </w:r>
          </w:p>
          <w:p>
            <w:pPr>
              <w:adjustRightInd w:val="0"/>
              <w:snapToGrid w:val="0"/>
              <w:jc w:val="left"/>
              <w:rPr>
                <w:rFonts w:hint="eastAsia" w:ascii="Times New Roman" w:hAnsi="Times New Roman" w:eastAsia="仿宋_GB2312" w:cs="Times New Roman"/>
                <w:sz w:val="28"/>
                <w:szCs w:val="28"/>
                <w:lang w:val="en-US" w:eastAsia="zh-CN"/>
              </w:rPr>
            </w:pPr>
            <w:r>
              <w:rPr>
                <w:rFonts w:hint="eastAsia" w:ascii="仿宋_GB2312" w:hAnsi="Times New Roman" w:eastAsia="仿宋_GB2312" w:cs="Times New Roman"/>
                <w:b/>
                <w:bCs/>
                <w:color w:val="000000"/>
                <w:sz w:val="28"/>
                <w:szCs w:val="28"/>
                <w:lang w:eastAsia="zh-CN"/>
              </w:rPr>
              <w:t>理由：</w:t>
            </w:r>
            <w:r>
              <w:rPr>
                <w:rFonts w:hint="eastAsia" w:ascii="仿宋_GB2312" w:hAnsi="Times New Roman" w:eastAsia="仿宋_GB2312" w:cs="Times New Roman"/>
                <w:color w:val="000000"/>
                <w:sz w:val="28"/>
                <w:szCs w:val="28"/>
              </w:rPr>
              <w:t>已被新规定涵盖或者替代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区农业农村局</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《柳州市鱼峰区农村土地承包经营权确权登记管理办法（试行）》</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鱼府规〔2022〕3号</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2022年8月26日</w:t>
            </w:r>
          </w:p>
        </w:tc>
        <w:tc>
          <w:tcPr>
            <w:tcW w:w="53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bCs/>
                <w:sz w:val="28"/>
                <w:szCs w:val="28"/>
                <w:lang w:val="en-US" w:eastAsia="zh-CN"/>
              </w:rPr>
              <w:t>依据：</w:t>
            </w:r>
            <w:r>
              <w:rPr>
                <w:rFonts w:hint="eastAsia" w:ascii="Times New Roman" w:hAnsi="Times New Roman" w:eastAsia="仿宋_GB2312" w:cs="Times New Roman"/>
                <w:sz w:val="28"/>
                <w:szCs w:val="28"/>
                <w:lang w:val="en-US" w:eastAsia="zh-CN"/>
              </w:rPr>
              <w:t>《土地承包经营权和土地经营权登记操作规范（试行）》</w:t>
            </w:r>
          </w:p>
          <w:p>
            <w:pPr>
              <w:adjustRightInd w:val="0"/>
              <w:snapToGrid w:val="0"/>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bCs/>
                <w:sz w:val="28"/>
                <w:szCs w:val="28"/>
                <w:lang w:val="en-US" w:eastAsia="zh-CN"/>
              </w:rPr>
              <w:t>理由：</w:t>
            </w:r>
            <w:r>
              <w:rPr>
                <w:rFonts w:hint="eastAsia" w:ascii="仿宋_GB2312" w:hAnsi="Times New Roman" w:eastAsia="仿宋_GB2312" w:cs="Times New Roman"/>
                <w:color w:val="000000"/>
                <w:sz w:val="28"/>
                <w:szCs w:val="28"/>
              </w:rPr>
              <w:t>已被新规定涵盖或者替代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3</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区住建局</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《鱼峰区自建房安全专项整治行动方案》</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鱼府规〔2022〕2号</w:t>
            </w:r>
          </w:p>
          <w:p>
            <w:pPr>
              <w:adjustRightInd w:val="0"/>
              <w:snapToGrid w:val="0"/>
              <w:jc w:val="center"/>
              <w:rPr>
                <w:rFonts w:hint="eastAsia" w:ascii="Times New Roman" w:hAnsi="Times New Roman" w:eastAsia="仿宋_GB2312" w:cs="Times New Roman"/>
                <w:kern w:val="2"/>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2022年7月12日</w:t>
            </w:r>
          </w:p>
        </w:tc>
        <w:tc>
          <w:tcPr>
            <w:tcW w:w="53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b/>
                <w:bCs/>
                <w:sz w:val="28"/>
                <w:szCs w:val="28"/>
                <w:lang w:val="en-US" w:eastAsia="zh-CN"/>
              </w:rPr>
              <w:t>理由：</w:t>
            </w:r>
            <w:r>
              <w:rPr>
                <w:rFonts w:hint="eastAsia" w:ascii="仿宋_GB2312" w:hAnsi="Times New Roman" w:eastAsia="仿宋_GB2312" w:cs="Times New Roman"/>
                <w:color w:val="000000"/>
                <w:sz w:val="28"/>
                <w:szCs w:val="28"/>
              </w:rPr>
              <w:t>已被新规定涵盖或者替代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w:t>
            </w:r>
          </w:p>
        </w:tc>
        <w:tc>
          <w:tcPr>
            <w:tcW w:w="139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区卫健局</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《鱼峰区突发公共卫生事件应急预案（修订版）》</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鱼府规〔2019〕2号</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2019年1月24日</w:t>
            </w:r>
          </w:p>
        </w:tc>
        <w:tc>
          <w:tcPr>
            <w:tcW w:w="53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bCs/>
                <w:sz w:val="28"/>
                <w:szCs w:val="28"/>
                <w:lang w:val="en-US" w:eastAsia="zh-CN"/>
              </w:rPr>
              <w:t>依据：</w:t>
            </w:r>
            <w:r>
              <w:rPr>
                <w:rFonts w:hint="eastAsia" w:ascii="Times New Roman" w:hAnsi="Times New Roman" w:eastAsia="仿宋_GB2312" w:cs="Times New Roman"/>
                <w:b w:val="0"/>
                <w:bCs w:val="0"/>
                <w:sz w:val="28"/>
                <w:szCs w:val="28"/>
                <w:lang w:val="en-US" w:eastAsia="zh-CN"/>
              </w:rPr>
              <w:t>《鱼峰区突发公共卫生事件应急预案（2020年修订版）》</w:t>
            </w:r>
          </w:p>
          <w:p>
            <w:pPr>
              <w:adjustRightInd w:val="0"/>
              <w:snapToGrid w:val="0"/>
              <w:jc w:val="left"/>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bCs/>
                <w:sz w:val="28"/>
                <w:szCs w:val="28"/>
                <w:lang w:val="en-US" w:eastAsia="zh-CN"/>
              </w:rPr>
              <w:t>理由：</w:t>
            </w:r>
            <w:r>
              <w:rPr>
                <w:rFonts w:hint="eastAsia" w:ascii="仿宋_GB2312" w:hAnsi="Times New Roman" w:eastAsia="仿宋_GB2312" w:cs="Times New Roman"/>
                <w:color w:val="000000"/>
                <w:sz w:val="28"/>
                <w:szCs w:val="28"/>
              </w:rPr>
              <w:t>已被新规定涵盖或者替代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trPr>
        <w:tc>
          <w:tcPr>
            <w:tcW w:w="765"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w:t>
            </w:r>
          </w:p>
        </w:tc>
        <w:tc>
          <w:tcPr>
            <w:tcW w:w="1395" w:type="dxa"/>
            <w:vMerge w:val="continue"/>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p>
        </w:tc>
        <w:tc>
          <w:tcPr>
            <w:tcW w:w="3030"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《鱼峰区关于进一步加强基层医疗卫生机构人才队伍建设的实施方案》</w:t>
            </w:r>
          </w:p>
        </w:tc>
        <w:tc>
          <w:tcPr>
            <w:tcW w:w="1770"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鱼政发〔2016〕3号</w:t>
            </w:r>
          </w:p>
        </w:tc>
        <w:tc>
          <w:tcPr>
            <w:tcW w:w="1800"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2016年3月2日</w:t>
            </w:r>
          </w:p>
        </w:tc>
        <w:tc>
          <w:tcPr>
            <w:tcW w:w="5325"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bCs/>
                <w:sz w:val="28"/>
                <w:szCs w:val="28"/>
                <w:lang w:val="en-US" w:eastAsia="zh-CN"/>
              </w:rPr>
              <w:t>理由：</w:t>
            </w:r>
            <w:r>
              <w:rPr>
                <w:rFonts w:hint="eastAsia" w:ascii="仿宋_GB2312" w:hAnsi="Times New Roman" w:eastAsia="仿宋_GB2312" w:cs="Times New Roman"/>
                <w:color w:val="000000"/>
                <w:sz w:val="28"/>
                <w:szCs w:val="28"/>
              </w:rPr>
              <w:t>已被新规定涵盖或者替代</w:t>
            </w:r>
          </w:p>
        </w:tc>
      </w:tr>
    </w:tbl>
    <w:p>
      <w:pPr>
        <w:adjustRightInd w:val="0"/>
        <w:snapToGrid w:val="0"/>
        <w:spacing w:line="560" w:lineRule="exact"/>
        <w:jc w:val="left"/>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eastAsia="zh-CN"/>
        </w:rPr>
        <w:t>附件</w:t>
      </w:r>
      <w:r>
        <w:rPr>
          <w:rFonts w:hint="eastAsia" w:ascii="黑体" w:hAnsi="黑体" w:eastAsia="黑体" w:cs="黑体"/>
          <w:bCs/>
          <w:color w:val="000000"/>
          <w:sz w:val="32"/>
          <w:szCs w:val="32"/>
          <w:lang w:val="en-US" w:eastAsia="zh-CN"/>
        </w:rPr>
        <w:t>4：</w:t>
      </w:r>
    </w:p>
    <w:p>
      <w:pPr>
        <w:adjustRightInd w:val="0"/>
        <w:snapToGrid w:val="0"/>
        <w:spacing w:line="560" w:lineRule="exact"/>
        <w:jc w:val="center"/>
        <w:rPr>
          <w:rFonts w:hint="eastAsia"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bCs/>
          <w:color w:val="000000"/>
          <w:sz w:val="44"/>
          <w:szCs w:val="44"/>
        </w:rPr>
        <w:t>宣布失效的区人民政府行政规范性文件目录</w:t>
      </w:r>
    </w:p>
    <w:tbl>
      <w:tblPr>
        <w:tblStyle w:val="16"/>
        <w:tblpPr w:leftFromText="180" w:rightFromText="180" w:vertAnchor="text" w:horzAnchor="page" w:tblpX="1570" w:tblpY="266"/>
        <w:tblOverlap w:val="never"/>
        <w:tblW w:w="14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0"/>
        <w:gridCol w:w="1035"/>
        <w:gridCol w:w="2970"/>
        <w:gridCol w:w="1650"/>
        <w:gridCol w:w="2010"/>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1" w:hRule="atLeast"/>
        </w:trPr>
        <w:tc>
          <w:tcPr>
            <w:tcW w:w="720"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黑体" w:hAnsi="黑体" w:eastAsia="黑体" w:cs="Times New Roman"/>
                <w:sz w:val="28"/>
                <w:szCs w:val="28"/>
              </w:rPr>
            </w:pPr>
            <w:r>
              <w:rPr>
                <w:rFonts w:hint="eastAsia" w:ascii="黑体" w:hAnsi="黑体" w:eastAsia="黑体" w:cs="Times New Roman"/>
                <w:sz w:val="28"/>
                <w:szCs w:val="28"/>
              </w:rPr>
              <w:t>序</w:t>
            </w:r>
            <w:r>
              <w:rPr>
                <w:rFonts w:ascii="黑体" w:hAnsi="黑体" w:eastAsia="黑体" w:cs="Times New Roman"/>
                <w:sz w:val="28"/>
                <w:szCs w:val="28"/>
              </w:rPr>
              <w:t>号</w:t>
            </w:r>
          </w:p>
        </w:tc>
        <w:tc>
          <w:tcPr>
            <w:tcW w:w="1035"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牵头起草部门</w:t>
            </w:r>
          </w:p>
        </w:tc>
        <w:tc>
          <w:tcPr>
            <w:tcW w:w="2970" w:type="dxa"/>
            <w:tcBorders>
              <w:top w:val="single" w:color="auto" w:sz="4" w:space="0"/>
              <w:left w:val="single" w:color="auto" w:sz="4" w:space="0"/>
              <w:right w:val="single" w:color="auto" w:sz="4" w:space="0"/>
            </w:tcBorders>
            <w:noWrap w:val="0"/>
            <w:vAlign w:val="center"/>
          </w:tcPr>
          <w:p>
            <w:pPr>
              <w:adjustRightInd w:val="0"/>
              <w:snapToGrid w:val="0"/>
              <w:jc w:val="center"/>
              <w:rPr>
                <w:rFonts w:ascii="黑体" w:hAnsi="黑体" w:eastAsia="黑体" w:cs="Times New Roman"/>
                <w:sz w:val="28"/>
                <w:szCs w:val="28"/>
              </w:rPr>
            </w:pPr>
            <w:r>
              <w:rPr>
                <w:rFonts w:ascii="黑体" w:hAnsi="黑体" w:eastAsia="黑体" w:cs="Times New Roman"/>
                <w:sz w:val="28"/>
                <w:szCs w:val="28"/>
              </w:rPr>
              <w:t>名称</w:t>
            </w:r>
          </w:p>
        </w:tc>
        <w:tc>
          <w:tcPr>
            <w:tcW w:w="1650" w:type="dxa"/>
            <w:tcBorders>
              <w:top w:val="single" w:color="auto" w:sz="4" w:space="0"/>
              <w:left w:val="single" w:color="auto" w:sz="4" w:space="0"/>
              <w:right w:val="single" w:color="auto" w:sz="4" w:space="0"/>
            </w:tcBorders>
            <w:noWrap w:val="0"/>
            <w:vAlign w:val="center"/>
          </w:tcPr>
          <w:p>
            <w:pPr>
              <w:adjustRightInd w:val="0"/>
              <w:snapToGrid w:val="0"/>
              <w:jc w:val="center"/>
              <w:rPr>
                <w:rFonts w:ascii="黑体" w:hAnsi="黑体" w:eastAsia="黑体" w:cs="Times New Roman"/>
                <w:sz w:val="28"/>
                <w:szCs w:val="28"/>
              </w:rPr>
            </w:pPr>
            <w:r>
              <w:rPr>
                <w:rFonts w:ascii="黑体" w:hAnsi="黑体" w:eastAsia="黑体" w:cs="Times New Roman"/>
                <w:sz w:val="28"/>
                <w:szCs w:val="28"/>
              </w:rPr>
              <w:t>文号</w:t>
            </w:r>
          </w:p>
        </w:tc>
        <w:tc>
          <w:tcPr>
            <w:tcW w:w="2010" w:type="dxa"/>
            <w:tcBorders>
              <w:top w:val="single" w:color="auto" w:sz="4" w:space="0"/>
              <w:left w:val="single" w:color="auto" w:sz="4" w:space="0"/>
              <w:right w:val="single" w:color="auto" w:sz="4" w:space="0"/>
            </w:tcBorders>
            <w:noWrap w:val="0"/>
            <w:vAlign w:val="center"/>
          </w:tcPr>
          <w:p>
            <w:pPr>
              <w:adjustRightInd w:val="0"/>
              <w:snapToGrid w:val="0"/>
              <w:jc w:val="center"/>
              <w:rPr>
                <w:rFonts w:ascii="黑体" w:hAnsi="黑体" w:eastAsia="黑体" w:cs="Times New Roman"/>
                <w:sz w:val="28"/>
                <w:szCs w:val="28"/>
              </w:rPr>
            </w:pPr>
            <w:r>
              <w:rPr>
                <w:rFonts w:ascii="黑体" w:hAnsi="黑体" w:eastAsia="黑体" w:cs="Times New Roman"/>
                <w:sz w:val="28"/>
                <w:szCs w:val="28"/>
              </w:rPr>
              <w:t>发布时间</w:t>
            </w:r>
          </w:p>
        </w:tc>
        <w:tc>
          <w:tcPr>
            <w:tcW w:w="5625"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黑体" w:hAnsi="黑体" w:eastAsia="黑体" w:cs="Times New Roman"/>
                <w:sz w:val="28"/>
                <w:szCs w:val="28"/>
              </w:rPr>
            </w:pPr>
            <w:r>
              <w:rPr>
                <w:rFonts w:hint="eastAsia" w:ascii="黑体" w:hAnsi="黑体" w:eastAsia="黑体" w:cs="Times New Roman"/>
                <w:sz w:val="28"/>
                <w:szCs w:val="28"/>
                <w:lang w:eastAsia="zh-CN"/>
              </w:rPr>
              <w:t>失效</w:t>
            </w:r>
            <w:r>
              <w:rPr>
                <w:rFonts w:ascii="黑体" w:hAnsi="黑体" w:eastAsia="黑体" w:cs="Times New Roman"/>
                <w:sz w:val="28"/>
                <w:szCs w:val="28"/>
              </w:rPr>
              <w:t>的依据和理由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p>
        </w:tc>
        <w:tc>
          <w:tcPr>
            <w:tcW w:w="103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区农业农村局</w:t>
            </w:r>
          </w:p>
        </w:tc>
        <w:tc>
          <w:tcPr>
            <w:tcW w:w="2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《2019年鱼峰区螺蛳粉原料产业补贴方案》</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鱼府规〔2019〕7号</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right="0" w:rightChars="0" w:firstLine="0" w:firstLineChars="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2019年7月9日</w:t>
            </w:r>
          </w:p>
        </w:tc>
        <w:tc>
          <w:tcPr>
            <w:tcW w:w="56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工作任务已完成，适用期已过，不再继续施行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p>
        </w:tc>
        <w:tc>
          <w:tcPr>
            <w:tcW w:w="1035" w:type="dxa"/>
            <w:vMerge w:val="continue"/>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p>
        </w:tc>
        <w:tc>
          <w:tcPr>
            <w:tcW w:w="29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《鱼峰区糖料蔗订单农业失信惩戒工作制度》</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鱼府规〔2019〕10号</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right="0" w:rightChars="0" w:firstLine="0" w:firstLineChars="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2019年11月18日</w:t>
            </w:r>
          </w:p>
        </w:tc>
        <w:tc>
          <w:tcPr>
            <w:tcW w:w="56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仿宋_GB2312" w:hAnsi="Times New Roman" w:eastAsia="仿宋_GB2312" w:cs="Times New Roman"/>
                <w:color w:val="000000"/>
                <w:sz w:val="28"/>
                <w:szCs w:val="28"/>
              </w:rPr>
              <w:t>工作任务已完成，适用期已过，不再继续施行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w:t>
            </w:r>
          </w:p>
        </w:tc>
        <w:tc>
          <w:tcPr>
            <w:tcW w:w="1035" w:type="dxa"/>
            <w:vMerge w:val="continue"/>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p>
        </w:tc>
        <w:tc>
          <w:tcPr>
            <w:tcW w:w="29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《鱼峰区关于加快推进农业信贷担保体系建设助推乡村振兴的工作方案》</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鱼府规〔2020〕1号</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right="0" w:rightChars="0" w:firstLine="0" w:firstLineChars="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2020年2月13日</w:t>
            </w:r>
          </w:p>
        </w:tc>
        <w:tc>
          <w:tcPr>
            <w:tcW w:w="56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工作任务已完成，适用期已过，不再继续施行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w:t>
            </w:r>
          </w:p>
        </w:tc>
        <w:tc>
          <w:tcPr>
            <w:tcW w:w="1035" w:type="dxa"/>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区科技局</w:t>
            </w:r>
          </w:p>
        </w:tc>
        <w:tc>
          <w:tcPr>
            <w:tcW w:w="2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《鱼峰区企业购买科技成果补助暂行办法》</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鱼府规〔2018〕2号</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right="0" w:rightChars="0" w:firstLine="0" w:firstLineChars="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2018年4月27日</w:t>
            </w:r>
          </w:p>
        </w:tc>
        <w:tc>
          <w:tcPr>
            <w:tcW w:w="56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kern w:val="2"/>
                <w:sz w:val="28"/>
                <w:szCs w:val="28"/>
                <w:lang w:val="en-US" w:eastAsia="zh-CN" w:bidi="ar-SA"/>
              </w:rPr>
            </w:pPr>
            <w:r>
              <w:rPr>
                <w:rFonts w:hint="eastAsia" w:ascii="仿宋_GB2312" w:hAnsi="Times New Roman" w:eastAsia="仿宋_GB2312" w:cs="Times New Roman"/>
                <w:color w:val="000000"/>
                <w:sz w:val="28"/>
                <w:szCs w:val="28"/>
              </w:rPr>
              <w:t>适用期已过，不再继续施行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w:t>
            </w:r>
          </w:p>
        </w:tc>
        <w:tc>
          <w:tcPr>
            <w:tcW w:w="1035" w:type="dxa"/>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区住建局</w:t>
            </w:r>
          </w:p>
        </w:tc>
        <w:tc>
          <w:tcPr>
            <w:tcW w:w="2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《鱼峰区建设工程招投标实施办法》</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鱼政办发〔2017〕21号</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right="0" w:rightChars="0" w:firstLine="0" w:firstLineChars="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2017年5月16日</w:t>
            </w:r>
          </w:p>
        </w:tc>
        <w:tc>
          <w:tcPr>
            <w:tcW w:w="56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Times New Roman" w:eastAsia="仿宋_GB2312" w:cs="Times New Roman"/>
                <w:color w:val="000000"/>
                <w:sz w:val="28"/>
                <w:szCs w:val="28"/>
                <w:lang w:eastAsia="zh-CN"/>
              </w:rPr>
            </w:pPr>
            <w:r>
              <w:rPr>
                <w:rFonts w:hint="eastAsia" w:ascii="仿宋_GB2312" w:hAnsi="Times New Roman" w:eastAsia="仿宋_GB2312" w:cs="Times New Roman"/>
                <w:color w:val="000000"/>
                <w:sz w:val="28"/>
                <w:szCs w:val="28"/>
                <w:lang w:eastAsia="zh-CN"/>
              </w:rPr>
              <w:t>工作任务已完成，不再继续施行</w:t>
            </w:r>
          </w:p>
        </w:tc>
      </w:tr>
    </w:tbl>
    <w:p>
      <w:pPr>
        <w:pStyle w:val="5"/>
        <w:rPr>
          <w:rFonts w:hint="eastAsia"/>
          <w:lang w:val="en-US" w:eastAsia="zh-CN"/>
        </w:rPr>
      </w:pPr>
    </w:p>
    <w:sectPr>
      <w:headerReference r:id="rId3" w:type="default"/>
      <w:footerReference r:id="rId5" w:type="default"/>
      <w:headerReference r:id="rId4" w:type="even"/>
      <w:footerReference r:id="rId6" w:type="even"/>
      <w:pgSz w:w="16840" w:h="11907" w:orient="landscape"/>
      <w:pgMar w:top="1587" w:right="2098" w:bottom="1474" w:left="1984" w:header="851" w:footer="1389" w:gutter="0"/>
      <w:pgNumType w:start="1"/>
      <w:cols w:space="0" w:num="1"/>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eastAsia="宋体"/>
        <w:sz w:val="28"/>
        <w:szCs w:val="28"/>
      </w:rPr>
    </w:pPr>
    <w:r>
      <w:rPr>
        <w:sz w:val="28"/>
        <w:szCs w:val="28"/>
      </w:rPr>
      <w:t xml:space="preserve">— </w:t>
    </w:r>
    <w:r>
      <w:rPr>
        <w:rStyle w:val="19"/>
        <w:rFonts w:ascii="宋体" w:hAnsi="宋体" w:eastAsia="宋体" w:cs="宋体"/>
        <w:sz w:val="28"/>
        <w:szCs w:val="28"/>
      </w:rPr>
      <w:fldChar w:fldCharType="begin"/>
    </w:r>
    <w:r>
      <w:rPr>
        <w:rStyle w:val="19"/>
        <w:rFonts w:ascii="宋体" w:hAnsi="宋体" w:eastAsia="宋体" w:cs="宋体"/>
        <w:sz w:val="28"/>
        <w:szCs w:val="28"/>
      </w:rPr>
      <w:instrText xml:space="preserve"> PAGE </w:instrText>
    </w:r>
    <w:r>
      <w:rPr>
        <w:rStyle w:val="19"/>
        <w:rFonts w:ascii="宋体" w:hAnsi="宋体" w:eastAsia="宋体" w:cs="宋体"/>
        <w:sz w:val="28"/>
        <w:szCs w:val="28"/>
      </w:rPr>
      <w:fldChar w:fldCharType="separate"/>
    </w:r>
    <w:r>
      <w:rPr>
        <w:rStyle w:val="19"/>
        <w:rFonts w:ascii="宋体" w:hAnsi="宋体" w:eastAsia="宋体" w:cs="宋体"/>
        <w:sz w:val="28"/>
        <w:szCs w:val="28"/>
      </w:rPr>
      <w:t>19</w:t>
    </w:r>
    <w:r>
      <w:rPr>
        <w:rStyle w:val="19"/>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280" w:firstLineChars="100"/>
      <w:rPr>
        <w:sz w:val="28"/>
        <w:szCs w:val="28"/>
      </w:rPr>
    </w:pPr>
    <w:r>
      <w:rPr>
        <w:sz w:val="28"/>
        <w:szCs w:val="28"/>
      </w:rPr>
      <w:t>—</w:t>
    </w:r>
    <w:r>
      <w:rPr>
        <w:rStyle w:val="19"/>
        <w:rFonts w:hint="eastAsia" w:ascii="宋体" w:hAnsi="宋体" w:eastAsia="宋体" w:cs="宋体"/>
        <w:sz w:val="28"/>
        <w:szCs w:val="28"/>
      </w:rPr>
      <w:t xml:space="preserve"> </w:t>
    </w:r>
    <w:r>
      <w:rPr>
        <w:rStyle w:val="19"/>
        <w:rFonts w:ascii="宋体" w:hAnsi="宋体" w:eastAsia="宋体" w:cs="宋体"/>
        <w:sz w:val="28"/>
        <w:szCs w:val="28"/>
      </w:rPr>
      <w:fldChar w:fldCharType="begin"/>
    </w:r>
    <w:r>
      <w:rPr>
        <w:rStyle w:val="19"/>
        <w:rFonts w:ascii="宋体" w:hAnsi="宋体" w:eastAsia="宋体" w:cs="宋体"/>
        <w:sz w:val="28"/>
        <w:szCs w:val="28"/>
      </w:rPr>
      <w:instrText xml:space="preserve"> PAGE </w:instrText>
    </w:r>
    <w:r>
      <w:rPr>
        <w:rStyle w:val="19"/>
        <w:rFonts w:ascii="宋体" w:hAnsi="宋体" w:eastAsia="宋体" w:cs="宋体"/>
        <w:sz w:val="28"/>
        <w:szCs w:val="28"/>
      </w:rPr>
      <w:fldChar w:fldCharType="separate"/>
    </w:r>
    <w:r>
      <w:rPr>
        <w:rStyle w:val="19"/>
        <w:rFonts w:ascii="宋体" w:hAnsi="宋体" w:eastAsia="宋体" w:cs="宋体"/>
        <w:sz w:val="28"/>
        <w:szCs w:val="28"/>
      </w:rPr>
      <w:t>20</w:t>
    </w:r>
    <w:r>
      <w:rPr>
        <w:rStyle w:val="19"/>
        <w:rFonts w:ascii="宋体" w:hAnsi="宋体" w:eastAsia="宋体" w:cs="宋体"/>
        <w:sz w:val="28"/>
        <w:szCs w:val="28"/>
      </w:rPr>
      <w:fldChar w:fldCharType="end"/>
    </w:r>
    <w:r>
      <w:rPr>
        <w:rStyle w:val="19"/>
        <w:rFonts w:hint="eastAsia" w:ascii="宋体" w:hAnsi="宋体" w:eastAsia="宋体" w:cs="宋体"/>
        <w:sz w:val="28"/>
        <w:szCs w:val="28"/>
      </w:rPr>
      <w:t xml:space="preserve"> </w:t>
    </w:r>
    <w:r>
      <w:rPr>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evenAndOddHeaders w:val="1"/>
  <w:drawingGridHorizontalSpacing w:val="158"/>
  <w:drawingGridVerticalSpacing w:val="295"/>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E57182E"/>
    <w:rsid w:val="0E953477"/>
    <w:rsid w:val="12DA14B4"/>
    <w:rsid w:val="15FF06DC"/>
    <w:rsid w:val="17396A14"/>
    <w:rsid w:val="17826D16"/>
    <w:rsid w:val="179D56C1"/>
    <w:rsid w:val="1D4D0D71"/>
    <w:rsid w:val="1F991545"/>
    <w:rsid w:val="1FD9F473"/>
    <w:rsid w:val="1FFB5FC9"/>
    <w:rsid w:val="2309100C"/>
    <w:rsid w:val="23B62E65"/>
    <w:rsid w:val="28376FF3"/>
    <w:rsid w:val="2A8715BD"/>
    <w:rsid w:val="2DB17CA6"/>
    <w:rsid w:val="2E5A82BF"/>
    <w:rsid w:val="2FEC340F"/>
    <w:rsid w:val="31FF6559"/>
    <w:rsid w:val="37FFEDAD"/>
    <w:rsid w:val="3B8233A0"/>
    <w:rsid w:val="3C52697F"/>
    <w:rsid w:val="3ED61660"/>
    <w:rsid w:val="3EFE595E"/>
    <w:rsid w:val="3F1D523A"/>
    <w:rsid w:val="3F7F0B8F"/>
    <w:rsid w:val="3FE86781"/>
    <w:rsid w:val="3FFDEB31"/>
    <w:rsid w:val="40F23AF0"/>
    <w:rsid w:val="42C4057F"/>
    <w:rsid w:val="439751F6"/>
    <w:rsid w:val="47A698BE"/>
    <w:rsid w:val="4F7C65F9"/>
    <w:rsid w:val="575B04CA"/>
    <w:rsid w:val="57BC59B1"/>
    <w:rsid w:val="58C05094"/>
    <w:rsid w:val="5CCF6AD8"/>
    <w:rsid w:val="5CDB4FF2"/>
    <w:rsid w:val="5DB39F54"/>
    <w:rsid w:val="5F8A53D2"/>
    <w:rsid w:val="60DB7989"/>
    <w:rsid w:val="637384AD"/>
    <w:rsid w:val="666B5E4F"/>
    <w:rsid w:val="69923109"/>
    <w:rsid w:val="6B1D1A89"/>
    <w:rsid w:val="6FF7C9D0"/>
    <w:rsid w:val="6FFECAA5"/>
    <w:rsid w:val="70FDACA1"/>
    <w:rsid w:val="71DE1CBA"/>
    <w:rsid w:val="75DD4332"/>
    <w:rsid w:val="779F48CF"/>
    <w:rsid w:val="79EB2CF2"/>
    <w:rsid w:val="7AA3233F"/>
    <w:rsid w:val="7BEA5A5A"/>
    <w:rsid w:val="7BFB4BDC"/>
    <w:rsid w:val="7C8758FA"/>
    <w:rsid w:val="7D3D7D57"/>
    <w:rsid w:val="7EDE13F9"/>
    <w:rsid w:val="7F4D7C8A"/>
    <w:rsid w:val="7F5C3C49"/>
    <w:rsid w:val="7F7D2D6E"/>
    <w:rsid w:val="7FFFE0AF"/>
    <w:rsid w:val="9C7A8908"/>
    <w:rsid w:val="9FFF10CE"/>
    <w:rsid w:val="AFFEEAF7"/>
    <w:rsid w:val="B9E730AF"/>
    <w:rsid w:val="BD2FA341"/>
    <w:rsid w:val="BEFFDE80"/>
    <w:rsid w:val="DEFF7A7F"/>
    <w:rsid w:val="DFBEEBBA"/>
    <w:rsid w:val="EBDFA9CB"/>
    <w:rsid w:val="ECAE3A64"/>
    <w:rsid w:val="EE4EB2A4"/>
    <w:rsid w:val="EEED33F7"/>
    <w:rsid w:val="EFBAA24C"/>
    <w:rsid w:val="EFC62533"/>
    <w:rsid w:val="EFDD304D"/>
    <w:rsid w:val="F6EEEAF6"/>
    <w:rsid w:val="F7BB24A9"/>
    <w:rsid w:val="F7BF24A4"/>
    <w:rsid w:val="F89E6F8E"/>
    <w:rsid w:val="F8FF4A52"/>
    <w:rsid w:val="FEF679ED"/>
    <w:rsid w:val="FEFCBED8"/>
    <w:rsid w:val="FF368CE4"/>
    <w:rsid w:val="FFD37A70"/>
    <w:rsid w:val="FFDF55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2"/>
    <w:basedOn w:val="1"/>
    <w:next w:val="1"/>
    <w:qFormat/>
    <w:locked/>
    <w:uiPriority w:val="0"/>
    <w:pPr>
      <w:spacing w:before="100" w:beforeAutospacing="1" w:after="100" w:afterAutospacing="1"/>
      <w:jc w:val="left"/>
      <w:outlineLvl w:val="1"/>
    </w:pPr>
    <w:rPr>
      <w:rFonts w:hint="eastAsia" w:ascii="宋体" w:hAnsi="宋体" w:eastAsia="宋体" w:cs="宋体"/>
      <w:b/>
      <w:kern w:val="0"/>
      <w:sz w:val="24"/>
      <w:szCs w:val="24"/>
      <w:lang w:val="en-US" w:eastAsia="zh-CN" w:bidi="ar"/>
    </w:rPr>
  </w:style>
  <w:style w:type="paragraph" w:styleId="5">
    <w:name w:val="heading 3"/>
    <w:basedOn w:val="1"/>
    <w:next w:val="1"/>
    <w:unhideWhenUsed/>
    <w:qFormat/>
    <w:locked/>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qFormat/>
    <w:uiPriority w:val="99"/>
    <w:rPr>
      <w:sz w:val="30"/>
    </w:rPr>
  </w:style>
  <w:style w:type="paragraph" w:customStyle="1" w:styleId="3">
    <w:name w:val="明显引用1"/>
    <w:next w:val="1"/>
    <w:qFormat/>
    <w:uiPriority w:val="0"/>
    <w:pPr>
      <w:wordWrap w:val="0"/>
      <w:spacing w:before="360" w:after="360"/>
      <w:ind w:left="950" w:right="950"/>
      <w:jc w:val="center"/>
    </w:pPr>
    <w:rPr>
      <w:rFonts w:ascii="Times New Roman" w:hAnsi="Times New Roman" w:eastAsia="宋体" w:cs="Times New Roman"/>
      <w:i/>
      <w:iCs/>
      <w:sz w:val="21"/>
      <w:szCs w:val="21"/>
      <w:lang w:val="en-US" w:eastAsia="zh-CN" w:bidi="ar-SA"/>
    </w:rPr>
  </w:style>
  <w:style w:type="paragraph" w:styleId="6">
    <w:name w:val="Salutation"/>
    <w:next w:val="1"/>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7">
    <w:name w:val="Body Text Indent"/>
    <w:basedOn w:val="1"/>
    <w:unhideWhenUsed/>
    <w:qFormat/>
    <w:uiPriority w:val="99"/>
    <w:pPr>
      <w:spacing w:after="120"/>
      <w:ind w:left="420" w:leftChars="200"/>
    </w:pPr>
  </w:style>
  <w:style w:type="paragraph" w:styleId="8">
    <w:name w:val="Body Text Indent 2"/>
    <w:basedOn w:val="1"/>
    <w:next w:val="1"/>
    <w:qFormat/>
    <w:uiPriority w:val="0"/>
    <w:pPr>
      <w:spacing w:after="120" w:line="480" w:lineRule="auto"/>
      <w:ind w:left="420" w:leftChars="200"/>
    </w:pPr>
    <w:rPr>
      <w:rFonts w:eastAsia="宋体"/>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12"/>
    <w:qFormat/>
    <w:uiPriority w:val="0"/>
    <w:rPr>
      <w:sz w:val="18"/>
    </w:rPr>
  </w:style>
  <w:style w:type="paragraph" w:styleId="12">
    <w:name w:val="Body Text First Indent 2"/>
    <w:basedOn w:val="7"/>
    <w:unhideWhenUsed/>
    <w:qFormat/>
    <w:uiPriority w:val="99"/>
    <w:pPr>
      <w:ind w:firstLine="420" w:firstLineChars="200"/>
    </w:pPr>
  </w:style>
  <w:style w:type="paragraph" w:styleId="13">
    <w:name w:val="Body Text 2"/>
    <w:basedOn w:val="1"/>
    <w:link w:val="23"/>
    <w:qFormat/>
    <w:uiPriority w:val="99"/>
    <w:pPr>
      <w:spacing w:after="120" w:line="480" w:lineRule="auto"/>
    </w:p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locked/>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18">
    <w:name w:val="Strong"/>
    <w:basedOn w:val="17"/>
    <w:qFormat/>
    <w:locked/>
    <w:uiPriority w:val="0"/>
    <w:rPr>
      <w:rFonts w:ascii="Times New Roman" w:hAnsi="Times New Roman" w:eastAsia="宋体" w:cs="Times New Roman"/>
      <w:b/>
    </w:rPr>
  </w:style>
  <w:style w:type="character" w:styleId="19">
    <w:name w:val="page number"/>
    <w:qFormat/>
    <w:uiPriority w:val="99"/>
    <w:rPr>
      <w:rFonts w:cs="Times New Roman"/>
    </w:rPr>
  </w:style>
  <w:style w:type="character" w:customStyle="1" w:styleId="20">
    <w:name w:val="正文文本 Char"/>
    <w:link w:val="2"/>
    <w:semiHidden/>
    <w:qFormat/>
    <w:uiPriority w:val="99"/>
    <w:rPr>
      <w:rFonts w:eastAsia="仿宋_GB2312"/>
      <w:sz w:val="32"/>
      <w:szCs w:val="24"/>
    </w:rPr>
  </w:style>
  <w:style w:type="character" w:customStyle="1" w:styleId="21">
    <w:name w:val="页脚 Char"/>
    <w:link w:val="9"/>
    <w:semiHidden/>
    <w:qFormat/>
    <w:uiPriority w:val="99"/>
    <w:rPr>
      <w:rFonts w:eastAsia="仿宋_GB2312"/>
      <w:sz w:val="18"/>
      <w:szCs w:val="18"/>
    </w:rPr>
  </w:style>
  <w:style w:type="character" w:customStyle="1" w:styleId="22">
    <w:name w:val="页眉 Char"/>
    <w:link w:val="10"/>
    <w:semiHidden/>
    <w:qFormat/>
    <w:uiPriority w:val="99"/>
    <w:rPr>
      <w:rFonts w:eastAsia="仿宋_GB2312"/>
      <w:sz w:val="18"/>
      <w:szCs w:val="18"/>
    </w:rPr>
  </w:style>
  <w:style w:type="character" w:customStyle="1" w:styleId="23">
    <w:name w:val="正文文本 2 Char"/>
    <w:link w:val="13"/>
    <w:semiHidden/>
    <w:qFormat/>
    <w:uiPriority w:val="99"/>
    <w:rPr>
      <w:rFonts w:eastAsia="仿宋_GB2312"/>
      <w:sz w:val="32"/>
      <w:szCs w:val="24"/>
    </w:rPr>
  </w:style>
  <w:style w:type="paragraph" w:customStyle="1" w:styleId="24">
    <w:name w:val="Char1"/>
    <w:basedOn w:val="1"/>
    <w:qFormat/>
    <w:uiPriority w:val="99"/>
    <w:pPr>
      <w:widowControl/>
      <w:spacing w:after="160" w:line="240" w:lineRule="exact"/>
      <w:jc w:val="left"/>
    </w:pPr>
    <w:rPr>
      <w:rFonts w:ascii="Arial" w:hAnsi="Arial" w:eastAsia="宋体" w:cs="Verdana"/>
      <w:b/>
      <w:kern w:val="0"/>
      <w:sz w:val="24"/>
      <w:lang w:eastAsia="en-US"/>
    </w:rPr>
  </w:style>
  <w:style w:type="paragraph" w:styleId="25">
    <w:name w:val="List Paragraph"/>
    <w:basedOn w:val="1"/>
    <w:qFormat/>
    <w:uiPriority w:val="0"/>
    <w:pPr>
      <w:ind w:firstLine="420" w:firstLineChars="200"/>
    </w:pPr>
    <w:rPr>
      <w:rFonts w:ascii="Times New Roman" w:hAnsi="Times New Roman" w:cs="Times New Roman"/>
    </w:rPr>
  </w:style>
  <w:style w:type="paragraph" w:customStyle="1" w:styleId="26">
    <w:name w:val="p17"/>
    <w:basedOn w:val="1"/>
    <w:qFormat/>
    <w:uiPriority w:val="0"/>
    <w:pPr>
      <w:widowControl/>
      <w:spacing w:before="100" w:after="100"/>
      <w:jc w:val="left"/>
    </w:pPr>
    <w:rPr>
      <w:rFonts w:ascii="Times New Roman" w:hAnsi="Times New Roman" w:eastAsia="宋体" w:cs="宋体"/>
      <w:szCs w:val="24"/>
    </w:rPr>
  </w:style>
  <w:style w:type="paragraph" w:customStyle="1" w:styleId="27">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公文格式"/>
    <w:basedOn w:val="9"/>
    <w:qFormat/>
    <w:uiPriority w:val="0"/>
    <w:pPr>
      <w:widowControl/>
      <w:spacing w:after="200"/>
      <w:ind w:firstLine="270" w:firstLineChars="150"/>
    </w:pPr>
    <w:rPr>
      <w:rFonts w:ascii="Calibri" w:hAnsi="Calibri"/>
      <w:kern w:val="0"/>
      <w:szCs w:val="24"/>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10</Pages>
  <Words>4301</Words>
  <Characters>4719</Characters>
  <Lines>36</Lines>
  <Paragraphs>10</Paragraphs>
  <TotalTime>4</TotalTime>
  <ScaleCrop>false</ScaleCrop>
  <LinksUpToDate>false</LinksUpToDate>
  <CharactersWithSpaces>4720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2019-07-26T06:41:00Z</dcterms:created>
  <dc:creator>Administrator</dc:creator>
  <cp:lastModifiedBy>ちひろ</cp:lastModifiedBy>
  <cp:lastPrinted>2023-06-01T16:33:00Z</cp:lastPrinted>
  <dcterms:modified xsi:type="dcterms:W3CDTF">2023-06-20T01:24:01Z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9ECFBBC7CBB144F48206F0D51C25A5D6_13</vt:lpwstr>
  </property>
</Properties>
</file>