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25F15">
      <w:pPr>
        <w:keepNext w:val="0"/>
        <w:keepLines w:val="0"/>
        <w:pageBreakBefore w:val="0"/>
        <w:widowControl w:val="0"/>
        <w:kinsoku/>
        <w:wordWrap/>
        <w:overflowPunct/>
        <w:topLinePunct w:val="0"/>
        <w:autoSpaceDE/>
        <w:autoSpaceDN/>
        <w:bidi w:val="0"/>
        <w:adjustRightInd/>
        <w:snapToGrid/>
        <w:spacing w:line="940" w:lineRule="exact"/>
        <w:jc w:val="center"/>
        <w:textAlignment w:val="auto"/>
        <w:rPr>
          <w:rFonts w:ascii="方正小标宋简体" w:eastAsia="方正小标宋简体"/>
          <w:color w:val="FF0000"/>
          <w:spacing w:val="20"/>
          <w:w w:val="90"/>
          <w:sz w:val="96"/>
          <w:szCs w:val="96"/>
        </w:rPr>
      </w:pPr>
      <w:bookmarkStart w:id="124" w:name="_GoBack"/>
      <w:bookmarkEnd w:id="124"/>
    </w:p>
    <w:p w14:paraId="1ED37499">
      <w:pPr>
        <w:spacing w:line="400" w:lineRule="exact"/>
        <w:ind w:firstLine="156" w:firstLineChars="49"/>
        <w:jc w:val="center"/>
        <w:rPr>
          <w:rFonts w:ascii="仿宋_GB2312" w:eastAsia="仿宋_GB2312"/>
          <w:color w:val="000000"/>
          <w:position w:val="6"/>
          <w:sz w:val="32"/>
          <w:szCs w:val="32"/>
        </w:rPr>
      </w:pPr>
      <w:r>
        <w:rPr>
          <w:rFonts w:hint="eastAsia" w:ascii="仿宋_GB2312" w:eastAsia="仿宋_GB2312"/>
          <w:color w:val="000000"/>
          <w:position w:val="6"/>
          <w:sz w:val="32"/>
          <w:szCs w:val="32"/>
        </w:rPr>
        <w:t>鱼政发〔</w:t>
      </w:r>
      <w:r>
        <w:rPr>
          <w:rFonts w:ascii="仿宋_GB2312" w:eastAsia="仿宋_GB2312"/>
          <w:color w:val="000000"/>
          <w:position w:val="6"/>
          <w:sz w:val="32"/>
          <w:szCs w:val="32"/>
        </w:rPr>
        <w:t>20</w:t>
      </w:r>
      <w:r>
        <w:rPr>
          <w:rFonts w:hint="eastAsia" w:ascii="仿宋_GB2312" w:eastAsia="仿宋_GB2312"/>
          <w:color w:val="000000"/>
          <w:position w:val="6"/>
          <w:sz w:val="32"/>
          <w:szCs w:val="32"/>
          <w:lang w:val="en-US" w:eastAsia="zh-CN"/>
        </w:rPr>
        <w:t>21</w:t>
      </w:r>
      <w:r>
        <w:rPr>
          <w:rFonts w:hint="eastAsia" w:ascii="仿宋_GB2312" w:eastAsia="仿宋_GB2312"/>
          <w:color w:val="000000"/>
          <w:position w:val="6"/>
          <w:sz w:val="32"/>
          <w:szCs w:val="32"/>
        </w:rPr>
        <w:t>〕</w:t>
      </w:r>
      <w:r>
        <w:rPr>
          <w:rFonts w:hint="eastAsia" w:ascii="仿宋_GB2312" w:hAnsi="仿宋_GB2312" w:eastAsia="仿宋_GB2312" w:cs="仿宋_GB2312"/>
          <w:color w:val="000000"/>
          <w:spacing w:val="8"/>
          <w:position w:val="6"/>
          <w:sz w:val="32"/>
          <w:szCs w:val="32"/>
          <w:lang w:val="en-US" w:eastAsia="zh-CN"/>
        </w:rPr>
        <w:t>11</w:t>
      </w:r>
      <w:r>
        <w:rPr>
          <w:rFonts w:hint="eastAsia" w:ascii="仿宋_GB2312" w:eastAsia="仿宋_GB2312"/>
          <w:color w:val="000000"/>
          <w:position w:val="6"/>
          <w:sz w:val="32"/>
          <w:szCs w:val="32"/>
        </w:rPr>
        <w:t>号</w:t>
      </w:r>
    </w:p>
    <w:p w14:paraId="259405F7">
      <w:pPr>
        <w:spacing w:line="800" w:lineRule="exact"/>
        <w:jc w:val="center"/>
        <w:rPr>
          <w:rFonts w:eastAsia="仿宋_GB2312"/>
          <w:snapToGrid w:val="0"/>
          <w:kern w:val="0"/>
          <w:sz w:val="32"/>
          <w:szCs w:val="32"/>
        </w:rPr>
      </w:pPr>
    </w:p>
    <w:p w14:paraId="0D978C1E">
      <w:pPr>
        <w:keepNext w:val="0"/>
        <w:keepLines w:val="0"/>
        <w:pageBreakBefore w:val="0"/>
        <w:kinsoku/>
        <w:wordWrap/>
        <w:overflowPunct/>
        <w:topLinePunct w:val="0"/>
        <w:autoSpaceDE/>
        <w:autoSpaceDN/>
        <w:bidi w:val="0"/>
        <w:adjustRightInd/>
        <w:snapToGrid/>
        <w:spacing w:line="578" w:lineRule="exact"/>
        <w:jc w:val="center"/>
        <w:textAlignment w:val="auto"/>
        <w:outlineLvl w:val="1"/>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鱼峰区人民政府</w:t>
      </w:r>
    </w:p>
    <w:p w14:paraId="44BE8EA6">
      <w:pPr>
        <w:keepNext w:val="0"/>
        <w:keepLines w:val="0"/>
        <w:pageBreakBefore w:val="0"/>
        <w:kinsoku/>
        <w:wordWrap/>
        <w:overflowPunct/>
        <w:topLinePunct w:val="0"/>
        <w:autoSpaceDE/>
        <w:autoSpaceDN/>
        <w:bidi w:val="0"/>
        <w:adjustRightInd/>
        <w:snapToGrid/>
        <w:spacing w:line="578" w:lineRule="exact"/>
        <w:jc w:val="center"/>
        <w:textAlignment w:val="auto"/>
        <w:outlineLvl w:val="1"/>
        <w:rPr>
          <w:rFonts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关于印发《鱼峰区国民经济和社会发展第十</w:t>
      </w:r>
      <w:r>
        <w:rPr>
          <w:rFonts w:hint="eastAsia" w:ascii="方正小标宋简体" w:hAnsi="方正小标宋简体" w:eastAsia="方正小标宋简体" w:cs="方正小标宋简体"/>
          <w:spacing w:val="6"/>
          <w:sz w:val="44"/>
          <w:szCs w:val="44"/>
          <w:lang w:val="en-US" w:eastAsia="zh-CN"/>
        </w:rPr>
        <w:t>四</w:t>
      </w:r>
      <w:r>
        <w:rPr>
          <w:rFonts w:hint="eastAsia" w:ascii="方正小标宋简体" w:hAnsi="方正小标宋简体" w:eastAsia="方正小标宋简体" w:cs="方正小标宋简体"/>
          <w:spacing w:val="6"/>
          <w:sz w:val="44"/>
          <w:szCs w:val="44"/>
        </w:rPr>
        <w:t>个五年规划和2035年远景目标纲要》的通知</w:t>
      </w:r>
    </w:p>
    <w:p w14:paraId="13A98037">
      <w:pPr>
        <w:keepNext w:val="0"/>
        <w:keepLines w:val="0"/>
        <w:pageBreakBefore w:val="0"/>
        <w:kinsoku/>
        <w:wordWrap/>
        <w:overflowPunct/>
        <w:topLinePunct w:val="0"/>
        <w:autoSpaceDE/>
        <w:autoSpaceDN/>
        <w:bidi w:val="0"/>
        <w:adjustRightInd/>
        <w:snapToGrid/>
        <w:spacing w:line="578" w:lineRule="exact"/>
        <w:ind w:firstLine="650" w:firstLineChars="196"/>
        <w:textAlignment w:val="auto"/>
        <w:rPr>
          <w:rFonts w:hAnsi="仿宋_GB2312" w:eastAsia="仿宋_GB2312"/>
          <w:spacing w:val="6"/>
          <w:sz w:val="32"/>
          <w:szCs w:val="32"/>
        </w:rPr>
      </w:pPr>
    </w:p>
    <w:p w14:paraId="23D9CFA6">
      <w:pPr>
        <w:keepNext w:val="0"/>
        <w:keepLines w:val="0"/>
        <w:pageBreakBefore w:val="0"/>
        <w:widowControl/>
        <w:kinsoku/>
        <w:wordWrap/>
        <w:overflowPunct/>
        <w:topLinePunct w:val="0"/>
        <w:autoSpaceDE/>
        <w:autoSpaceDN/>
        <w:bidi w:val="0"/>
        <w:adjustRightInd/>
        <w:snapToGrid/>
        <w:spacing w:line="578" w:lineRule="exact"/>
        <w:textAlignment w:val="auto"/>
        <w:rPr>
          <w:rFonts w:hAnsi="仿宋_GB2312" w:eastAsia="仿宋_GB2312"/>
          <w:spacing w:val="6"/>
          <w:sz w:val="32"/>
          <w:szCs w:val="32"/>
        </w:rPr>
      </w:pPr>
      <w:r>
        <w:rPr>
          <w:rFonts w:hint="eastAsia" w:hAnsi="仿宋_GB2312" w:eastAsia="仿宋_GB2312"/>
          <w:spacing w:val="6"/>
          <w:sz w:val="32"/>
          <w:szCs w:val="32"/>
        </w:rPr>
        <w:t>各镇人民政府、各街道办事处，区直国家机关各部门，各人民团体，各事业单位</w:t>
      </w:r>
      <w:r>
        <w:rPr>
          <w:rFonts w:hAnsi="仿宋_GB2312" w:eastAsia="仿宋_GB2312"/>
          <w:spacing w:val="6"/>
          <w:sz w:val="32"/>
          <w:szCs w:val="32"/>
        </w:rPr>
        <w:t>：</w:t>
      </w:r>
    </w:p>
    <w:p w14:paraId="6F6725F7">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Ansi="仿宋_GB2312" w:eastAsia="仿宋_GB2312"/>
          <w:sz w:val="32"/>
          <w:szCs w:val="32"/>
        </w:rPr>
      </w:pPr>
      <w:r>
        <w:rPr>
          <w:rFonts w:hint="eastAsia" w:hAnsi="仿宋_GB2312" w:eastAsia="仿宋_GB2312"/>
          <w:sz w:val="32"/>
          <w:szCs w:val="32"/>
        </w:rPr>
        <w:t>现将《鱼峰区国民经济和社会发展第十四个五年规划和2035年远景目标纲要》</w:t>
      </w:r>
      <w:r>
        <w:rPr>
          <w:rFonts w:hAnsi="仿宋_GB2312" w:eastAsia="仿宋_GB2312"/>
          <w:sz w:val="32"/>
          <w:szCs w:val="32"/>
        </w:rPr>
        <w:t>印发给你们，请认真贯彻执行。</w:t>
      </w:r>
    </w:p>
    <w:p w14:paraId="7CD8A6EB">
      <w:pPr>
        <w:keepNext w:val="0"/>
        <w:keepLines w:val="0"/>
        <w:pageBreakBefore w:val="0"/>
        <w:widowControl/>
        <w:kinsoku/>
        <w:wordWrap/>
        <w:overflowPunct/>
        <w:topLinePunct w:val="0"/>
        <w:autoSpaceDE/>
        <w:autoSpaceDN/>
        <w:bidi w:val="0"/>
        <w:adjustRightInd/>
        <w:snapToGrid/>
        <w:spacing w:line="578" w:lineRule="exact"/>
        <w:ind w:right="640"/>
        <w:textAlignment w:val="auto"/>
        <w:rPr>
          <w:rFonts w:eastAsia="仿宋_GB2312"/>
          <w:color w:val="000000"/>
          <w:sz w:val="32"/>
          <w:szCs w:val="32"/>
        </w:rPr>
      </w:pPr>
    </w:p>
    <w:p w14:paraId="462DB869">
      <w:pPr>
        <w:keepNext w:val="0"/>
        <w:keepLines w:val="0"/>
        <w:pageBreakBefore w:val="0"/>
        <w:widowControl/>
        <w:kinsoku/>
        <w:wordWrap/>
        <w:overflowPunct/>
        <w:topLinePunct w:val="0"/>
        <w:autoSpaceDE/>
        <w:autoSpaceDN/>
        <w:bidi w:val="0"/>
        <w:adjustRightInd/>
        <w:snapToGrid/>
        <w:spacing w:line="578" w:lineRule="exact"/>
        <w:ind w:right="640"/>
        <w:textAlignment w:val="auto"/>
        <w:rPr>
          <w:rFonts w:eastAsia="仿宋_GB2312"/>
          <w:color w:val="000000"/>
          <w:sz w:val="32"/>
          <w:szCs w:val="32"/>
        </w:rPr>
      </w:pPr>
    </w:p>
    <w:p w14:paraId="1CAB6F13">
      <w:pPr>
        <w:keepNext w:val="0"/>
        <w:keepLines w:val="0"/>
        <w:pageBreakBefore w:val="0"/>
        <w:widowControl/>
        <w:kinsoku/>
        <w:wordWrap/>
        <w:overflowPunct/>
        <w:topLinePunct w:val="0"/>
        <w:autoSpaceDE/>
        <w:autoSpaceDN/>
        <w:bidi w:val="0"/>
        <w:adjustRightInd/>
        <w:snapToGrid/>
        <w:spacing w:line="578" w:lineRule="exact"/>
        <w:ind w:right="640"/>
        <w:textAlignment w:val="auto"/>
        <w:rPr>
          <w:rFonts w:eastAsia="仿宋_GB2312"/>
          <w:color w:val="000000"/>
          <w:sz w:val="32"/>
          <w:szCs w:val="32"/>
        </w:rPr>
      </w:pPr>
    </w:p>
    <w:p w14:paraId="0207959B">
      <w:pPr>
        <w:keepNext w:val="0"/>
        <w:keepLines w:val="0"/>
        <w:pageBreakBefore w:val="0"/>
        <w:widowControl/>
        <w:kinsoku/>
        <w:wordWrap/>
        <w:overflowPunct/>
        <w:topLinePunct w:val="0"/>
        <w:autoSpaceDE/>
        <w:autoSpaceDN/>
        <w:bidi w:val="0"/>
        <w:adjustRightInd/>
        <w:snapToGrid/>
        <w:spacing w:line="578" w:lineRule="exact"/>
        <w:ind w:right="640" w:firstLine="5120" w:firstLineChars="1600"/>
        <w:textAlignment w:val="auto"/>
        <w:rPr>
          <w:rFonts w:ascii="仿宋_GB2312" w:eastAsia="仿宋_GB2312"/>
          <w:color w:val="000000"/>
          <w:sz w:val="32"/>
          <w:szCs w:val="32"/>
        </w:rPr>
      </w:pPr>
      <w:r>
        <w:rPr>
          <w:rFonts w:hint="eastAsia" w:ascii="仿宋_GB2312" w:eastAsia="仿宋_GB2312"/>
          <w:color w:val="000000"/>
          <w:sz w:val="32"/>
          <w:szCs w:val="32"/>
        </w:rPr>
        <w:t>鱼峰区人民政府</w:t>
      </w:r>
    </w:p>
    <w:p w14:paraId="10AFEE32">
      <w:pPr>
        <w:keepNext w:val="0"/>
        <w:keepLines w:val="0"/>
        <w:pageBreakBefore w:val="0"/>
        <w:widowControl/>
        <w:kinsoku/>
        <w:wordWrap/>
        <w:overflowPunct/>
        <w:topLinePunct w:val="0"/>
        <w:autoSpaceDE/>
        <w:autoSpaceDN/>
        <w:bidi w:val="0"/>
        <w:adjustRightInd/>
        <w:snapToGrid/>
        <w:spacing w:line="578" w:lineRule="exact"/>
        <w:ind w:right="640" w:firstLine="5120" w:firstLineChars="1600"/>
        <w:textAlignment w:val="auto"/>
        <w:rPr>
          <w:rFonts w:hint="eastAsia" w:ascii="仿宋_GB2312" w:eastAsia="仿宋_GB2312"/>
          <w:color w:val="000000"/>
          <w:sz w:val="32"/>
          <w:szCs w:val="32"/>
        </w:rPr>
      </w:pPr>
      <w:r>
        <w:rPr>
          <w:rFonts w:hint="eastAsia" w:ascii="仿宋_GB2312" w:eastAsia="仿宋_GB2312"/>
          <w:color w:val="000000"/>
          <w:sz w:val="32"/>
          <w:szCs w:val="32"/>
        </w:rPr>
        <w:t>2021年</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日</w:t>
      </w:r>
    </w:p>
    <w:p w14:paraId="10AEDE00">
      <w:pPr>
        <w:rPr>
          <w:rFonts w:hint="eastAsia" w:ascii="仿宋_GB2312" w:eastAsia="仿宋_GB2312"/>
          <w:color w:val="000000"/>
          <w:sz w:val="32"/>
          <w:szCs w:val="32"/>
        </w:rPr>
      </w:pPr>
      <w:r>
        <w:rPr>
          <w:rFonts w:hint="eastAsia" w:ascii="仿宋_GB2312" w:eastAsia="仿宋_GB2312"/>
          <w:color w:val="000000"/>
          <w:sz w:val="32"/>
          <w:szCs w:val="32"/>
        </w:rPr>
        <w:br w:type="page"/>
      </w:r>
    </w:p>
    <w:p w14:paraId="32707DCC">
      <w:pPr>
        <w:spacing w:line="600" w:lineRule="exact"/>
        <w:ind w:firstLine="0" w:firstLineChars="0"/>
        <w:jc w:val="center"/>
        <w:rPr>
          <w:rFonts w:ascii="方正小标宋简体" w:hAnsi="宋体" w:eastAsia="方正小标宋简体" w:cs="华文楷体"/>
          <w:bCs/>
          <w:color w:val="000000" w:themeColor="text1"/>
          <w:sz w:val="44"/>
          <w:szCs w:val="44"/>
        </w:rPr>
      </w:pPr>
      <w:bookmarkStart w:id="0" w:name="_Hlk43852393"/>
      <w:r>
        <w:rPr>
          <w:rFonts w:hint="eastAsia" w:ascii="方正小标宋简体" w:hAnsi="宋体" w:eastAsia="方正小标宋简体" w:cs="华文楷体"/>
          <w:bCs/>
          <w:color w:val="000000" w:themeColor="text1"/>
          <w:sz w:val="44"/>
          <w:szCs w:val="44"/>
        </w:rPr>
        <w:t>鱼峰区</w:t>
      </w:r>
      <w:bookmarkEnd w:id="0"/>
      <w:r>
        <w:rPr>
          <w:rFonts w:hint="eastAsia" w:ascii="方正小标宋简体" w:hAnsi="宋体" w:eastAsia="方正小标宋简体" w:cs="华文楷体"/>
          <w:bCs/>
          <w:color w:val="000000" w:themeColor="text1"/>
          <w:sz w:val="44"/>
          <w:szCs w:val="44"/>
        </w:rPr>
        <w:t>国民经济和社会发展第十四个</w:t>
      </w:r>
    </w:p>
    <w:p w14:paraId="69159BD8">
      <w:pPr>
        <w:spacing w:line="600" w:lineRule="exact"/>
        <w:ind w:firstLine="0" w:firstLineChars="0"/>
        <w:jc w:val="center"/>
        <w:rPr>
          <w:rFonts w:ascii="方正小标宋简体" w:hAnsi="宋体" w:eastAsia="方正小标宋简体" w:cs="华文楷体"/>
          <w:bCs/>
          <w:color w:val="000000" w:themeColor="text1"/>
          <w:sz w:val="44"/>
          <w:szCs w:val="44"/>
        </w:rPr>
      </w:pPr>
      <w:r>
        <w:rPr>
          <w:rFonts w:hint="eastAsia" w:ascii="方正小标宋简体" w:hAnsi="宋体" w:eastAsia="方正小标宋简体" w:cs="华文楷体"/>
          <w:bCs/>
          <w:color w:val="000000" w:themeColor="text1"/>
          <w:sz w:val="44"/>
          <w:szCs w:val="44"/>
        </w:rPr>
        <w:t>五年规划及2035年远景目标纲要</w:t>
      </w:r>
    </w:p>
    <w:p w14:paraId="13A98FCB">
      <w:pPr>
        <w:ind w:firstLine="1044"/>
        <w:jc w:val="center"/>
        <w:rPr>
          <w:rFonts w:ascii="宋体" w:hAnsi="宋体" w:cs="华文楷体"/>
          <w:b/>
          <w:bCs/>
          <w:color w:val="000000" w:themeColor="text1"/>
          <w:sz w:val="52"/>
          <w:szCs w:val="52"/>
        </w:rPr>
      </w:pPr>
    </w:p>
    <w:p w14:paraId="2DE36C89">
      <w:pPr>
        <w:ind w:firstLine="640"/>
        <w:jc w:val="both"/>
        <w:rPr>
          <w:rFonts w:ascii="仿宋_GB2312" w:hAnsi="仿宋" w:eastAsia="仿宋_GB2312" w:cs="华文楷体"/>
          <w:color w:val="000000" w:themeColor="text1"/>
          <w:sz w:val="32"/>
          <w:szCs w:val="32"/>
        </w:rPr>
      </w:pPr>
      <w:r>
        <w:rPr>
          <w:rFonts w:hint="eastAsia" w:ascii="仿宋_GB2312" w:hAnsi="仿宋" w:eastAsia="仿宋_GB2312" w:cs="华文楷体"/>
          <w:color w:val="000000" w:themeColor="text1"/>
          <w:sz w:val="32"/>
          <w:szCs w:val="32"/>
        </w:rPr>
        <w:t>“十四五”时期是深入贯彻习近平新时代中国特色社会主义思想和党的十九大精神，开启全面建设社会主义现代化国家新征程的重要时期。根据《中共鱼峰区委员会关于制定鱼峰区国民经济和社会发展第十四个五年规划和二O三五年远景目标的建议》编制本纲要和远景目标，主要阐明“十四五”期间的指导思想、发展目标、发展重点和政策取向，</w:t>
      </w:r>
      <w:bookmarkStart w:id="1" w:name="_Toc12009"/>
      <w:r>
        <w:rPr>
          <w:rFonts w:hint="eastAsia" w:ascii="仿宋_GB2312" w:hAnsi="仿宋" w:eastAsia="仿宋_GB2312" w:cs="华文楷体"/>
          <w:color w:val="000000" w:themeColor="text1"/>
          <w:sz w:val="32"/>
          <w:szCs w:val="32"/>
        </w:rPr>
        <w:t>集中体现了区委区政府对于未来五年至2035年发展的指导方针和战略意图，是各镇</w:t>
      </w:r>
      <w:r>
        <w:rPr>
          <w:rFonts w:hint="eastAsia" w:ascii="仿宋_GB2312" w:hAnsi="仿宋" w:eastAsia="仿宋_GB2312" w:cs="华文楷体"/>
          <w:color w:val="000000" w:themeColor="text1"/>
          <w:sz w:val="32"/>
          <w:szCs w:val="32"/>
          <w:lang w:eastAsia="zh-CN"/>
        </w:rPr>
        <w:t>、</w:t>
      </w:r>
      <w:r>
        <w:rPr>
          <w:rFonts w:hint="eastAsia" w:ascii="仿宋_GB2312" w:hAnsi="仿宋" w:eastAsia="仿宋_GB2312" w:cs="华文楷体"/>
          <w:color w:val="000000" w:themeColor="text1"/>
          <w:sz w:val="32"/>
          <w:szCs w:val="32"/>
        </w:rPr>
        <w:t>街道</w:t>
      </w:r>
      <w:r>
        <w:rPr>
          <w:rFonts w:hint="eastAsia" w:ascii="仿宋_GB2312" w:hAnsi="仿宋" w:eastAsia="仿宋_GB2312" w:cs="华文楷体"/>
          <w:color w:val="000000" w:themeColor="text1"/>
          <w:sz w:val="32"/>
          <w:szCs w:val="32"/>
          <w:lang w:eastAsia="zh-CN"/>
        </w:rPr>
        <w:t>、</w:t>
      </w:r>
      <w:r>
        <w:rPr>
          <w:rFonts w:hint="eastAsia" w:ascii="仿宋_GB2312" w:hAnsi="仿宋" w:eastAsia="仿宋_GB2312" w:cs="华文楷体"/>
          <w:color w:val="000000" w:themeColor="text1"/>
          <w:sz w:val="32"/>
          <w:szCs w:val="32"/>
        </w:rPr>
        <w:t>各部门依法履行职责、编制年度计划和制定各项措施的重要依据，是全区人民共同奋斗的行动纲领。</w:t>
      </w:r>
    </w:p>
    <w:p w14:paraId="1E4FE873">
      <w:pPr>
        <w:pStyle w:val="2"/>
        <w:ind w:firstLine="720"/>
        <w:jc w:val="center"/>
        <w:rPr>
          <w:rFonts w:ascii="黑体" w:hAnsi="黑体" w:eastAsia="黑体"/>
          <w:b w:val="0"/>
          <w:color w:val="000000" w:themeColor="text1"/>
          <w:sz w:val="36"/>
          <w:szCs w:val="36"/>
        </w:rPr>
      </w:pPr>
      <w:bookmarkStart w:id="2" w:name="_Toc71816223"/>
      <w:r>
        <w:rPr>
          <w:rFonts w:hint="eastAsia" w:ascii="黑体" w:hAnsi="黑体" w:eastAsia="黑体"/>
          <w:b w:val="0"/>
          <w:color w:val="000000" w:themeColor="text1"/>
          <w:sz w:val="36"/>
          <w:szCs w:val="36"/>
        </w:rPr>
        <w:t>第一章 把握大势 准确认识历史机遇</w:t>
      </w:r>
      <w:bookmarkEnd w:id="1"/>
      <w:bookmarkEnd w:id="2"/>
    </w:p>
    <w:p w14:paraId="5088B33B">
      <w:pPr>
        <w:pStyle w:val="3"/>
        <w:ind w:firstLine="643"/>
        <w:jc w:val="center"/>
        <w:rPr>
          <w:rFonts w:ascii="楷体_GB2312" w:eastAsia="楷体_GB2312"/>
          <w:color w:val="000000" w:themeColor="text1"/>
        </w:rPr>
      </w:pPr>
      <w:bookmarkStart w:id="3" w:name="_Toc71816224"/>
      <w:bookmarkStart w:id="4" w:name="_Toc23182"/>
      <w:bookmarkStart w:id="5" w:name="_Toc959"/>
      <w:r>
        <w:rPr>
          <w:rFonts w:hint="eastAsia" w:ascii="楷体_GB2312" w:eastAsia="楷体_GB2312"/>
          <w:color w:val="000000" w:themeColor="text1"/>
        </w:rPr>
        <w:t>第一节 鱼峰区“十三五”经济社会发展回顾</w:t>
      </w:r>
      <w:bookmarkEnd w:id="3"/>
      <w:bookmarkEnd w:id="4"/>
    </w:p>
    <w:p w14:paraId="3B19F37F">
      <w:pPr>
        <w:ind w:firstLine="640"/>
        <w:jc w:val="both"/>
        <w:rPr>
          <w:rFonts w:ascii="仿宋_GB2312" w:hAnsi="仿宋" w:eastAsia="仿宋_GB2312" w:cs="华文楷体"/>
          <w:color w:val="000000" w:themeColor="text1"/>
          <w:sz w:val="32"/>
          <w:szCs w:val="32"/>
        </w:rPr>
      </w:pPr>
      <w:r>
        <w:rPr>
          <w:rFonts w:hint="eastAsia" w:ascii="仿宋_GB2312" w:hAnsi="仿宋" w:eastAsia="仿宋_GB2312" w:cs="华文楷体"/>
          <w:color w:val="000000" w:themeColor="text1"/>
          <w:sz w:val="32"/>
          <w:szCs w:val="32"/>
        </w:rPr>
        <w:t>“十三五”时期，面对错综复杂的外部环境和改革发展的繁重任务，鱼峰区在柳州市委、市政府的正确领导下，以习近平新时代中国特色社会主义思想为指导，主动适应经济发展新常态，突出重点、深化改革、攻坚克难、锐意进取，扎实推进“六区”建设，推动经济社会高质量发展，全面建成小康社会圆满收官，完成了“十三五”规划纲要确定的主要目标任务，为“十四五”时期实现跨越式发展奠定了坚实基础。</w:t>
      </w:r>
    </w:p>
    <w:p w14:paraId="7BBB25FD">
      <w:pPr>
        <w:pStyle w:val="4"/>
        <w:numPr>
          <w:ilvl w:val="0"/>
          <w:numId w:val="1"/>
        </w:numPr>
        <w:ind w:firstLine="643"/>
        <w:rPr>
          <w:rFonts w:ascii="仿宋_GB2312" w:eastAsia="仿宋_GB2312" w:hAnsiTheme="minorHAnsi"/>
          <w:color w:val="000000" w:themeColor="text1"/>
        </w:rPr>
      </w:pPr>
      <w:bookmarkStart w:id="6" w:name="_Toc71816225"/>
      <w:r>
        <w:rPr>
          <w:rFonts w:hint="eastAsia" w:ascii="仿宋_GB2312" w:eastAsia="仿宋_GB2312" w:hAnsiTheme="minorHAnsi"/>
          <w:color w:val="000000" w:themeColor="text1"/>
        </w:rPr>
        <w:t>经济发展量质齐升</w:t>
      </w:r>
      <w:bookmarkEnd w:id="6"/>
    </w:p>
    <w:p w14:paraId="314F58C6">
      <w:pPr>
        <w:ind w:firstLine="643"/>
        <w:jc w:val="both"/>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经济总量迈上新台阶。</w:t>
      </w:r>
      <w:r>
        <w:rPr>
          <w:rFonts w:hint="eastAsia" w:ascii="仿宋_GB2312" w:hAnsi="仿宋" w:eastAsia="仿宋_GB2312" w:cs="华文楷体"/>
          <w:color w:val="000000" w:themeColor="text1"/>
          <w:sz w:val="32"/>
          <w:szCs w:val="32"/>
        </w:rPr>
        <w:t>“十三五”时期，鱼峰区地区生产总值年均增长3.4%，经济实力又有提升。财政收入、全社会固定资产投资额、全社会消费品零售额预计年均增长5.7%、12.9%、7.5%，基本完成“十三五”规划目标，实现了新跨越。由于经济发展成绩突出，鱼峰区在“十三五”期间先后</w:t>
      </w:r>
      <w:r>
        <w:rPr>
          <w:rFonts w:hint="eastAsia" w:ascii="仿宋_GB2312" w:hAnsi="仿宋" w:eastAsia="仿宋_GB2312" w:cs="华文楷体"/>
          <w:color w:val="000000" w:themeColor="text1"/>
          <w:spacing w:val="6"/>
          <w:sz w:val="32"/>
          <w:szCs w:val="32"/>
        </w:rPr>
        <w:t>荣获广西科学发展先进城区、广西民营经济示范区等荣誉称号。</w:t>
      </w:r>
    </w:p>
    <w:p w14:paraId="5B3ED048">
      <w:pPr>
        <w:ind w:firstLine="643"/>
        <w:jc w:val="both"/>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产业结构进一步优化。</w:t>
      </w:r>
      <w:r>
        <w:rPr>
          <w:rFonts w:hint="eastAsia" w:ascii="仿宋_GB2312" w:hAnsi="仿宋" w:eastAsia="仿宋_GB2312" w:cs="华文楷体"/>
          <w:color w:val="000000" w:themeColor="text1"/>
          <w:sz w:val="32"/>
          <w:szCs w:val="32"/>
        </w:rPr>
        <w:t>重振鱼峰工业雄风取得重要进展，“十三五”时期培育出食品加工、生物医药、医疗器械康复器具三大新支柱产业。其中，螺蛳粉产业产值近60亿元，涌现出好欢螺、螺霸王、嘻螺会等全国销量前茅的知名品牌，成为全国最大的柳州螺蛳粉产业基地。高新技术企业保有量达55家。商贸业及总部经济加快推进，窑埠古镇、华润万象城形成城市新商圈。电子商务加快发展，与市商务局联合打造电子商务产业园；与阿里巴巴签订合作协议，建设新型农村商业服务体系。粮食、甘蔗等产量稳定，果蔬、养殖等特色农业加快发展。旅游业发展迅速，荣膺广西全域旅游示范区。</w:t>
      </w:r>
    </w:p>
    <w:p w14:paraId="782158B8">
      <w:pPr>
        <w:pStyle w:val="4"/>
        <w:numPr>
          <w:ilvl w:val="0"/>
          <w:numId w:val="1"/>
        </w:numPr>
        <w:ind w:left="0" w:leftChars="0" w:firstLine="643" w:firstLineChars="200"/>
        <w:rPr>
          <w:rFonts w:ascii="仿宋_GB2312" w:eastAsia="仿宋_GB2312"/>
          <w:color w:val="000000" w:themeColor="text1"/>
        </w:rPr>
      </w:pPr>
      <w:bookmarkStart w:id="7" w:name="_Toc71816226"/>
      <w:r>
        <w:rPr>
          <w:rFonts w:hint="eastAsia" w:ascii="仿宋_GB2312" w:eastAsia="仿宋_GB2312"/>
          <w:color w:val="000000" w:themeColor="text1"/>
        </w:rPr>
        <w:t>基础设施长足发展</w:t>
      </w:r>
      <w:bookmarkEnd w:id="7"/>
    </w:p>
    <w:p w14:paraId="0615375A">
      <w:pPr>
        <w:ind w:firstLine="643"/>
        <w:jc w:val="both"/>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园区基础设施建设和公共配套设施建设进程加快。</w:t>
      </w:r>
      <w:r>
        <w:rPr>
          <w:rFonts w:hint="eastAsia" w:ascii="仿宋_GB2312" w:hAnsi="仿宋" w:eastAsia="仿宋_GB2312" w:cs="华文楷体"/>
          <w:color w:val="000000" w:themeColor="text1"/>
          <w:sz w:val="32"/>
          <w:szCs w:val="32"/>
        </w:rPr>
        <w:t>建成园区道路通车里程15公里，进出口通道4个，各类标准厂房11.6万</w:t>
      </w:r>
      <w:r>
        <w:rPr>
          <w:rFonts w:hint="eastAsia" w:ascii="仿宋_GB2312" w:hAnsi="仿宋" w:eastAsia="仿宋" w:cs="华文楷体"/>
          <w:color w:val="000000" w:themeColor="text1"/>
          <w:sz w:val="32"/>
          <w:szCs w:val="32"/>
        </w:rPr>
        <w:t>㎡</w:t>
      </w:r>
      <w:r>
        <w:rPr>
          <w:rFonts w:hint="eastAsia" w:ascii="仿宋_GB2312" w:hAnsi="仿宋" w:eastAsia="仿宋_GB2312" w:cs="华文楷体"/>
          <w:color w:val="000000" w:themeColor="text1"/>
          <w:sz w:val="32"/>
          <w:szCs w:val="32"/>
        </w:rPr>
        <w:t>，道路绿化提升工程建设约10万</w:t>
      </w:r>
      <w:r>
        <w:rPr>
          <w:rFonts w:hint="eastAsia" w:ascii="仿宋_GB2312" w:hAnsi="仿宋" w:eastAsia="仿宋" w:cs="华文楷体"/>
          <w:color w:val="000000" w:themeColor="text1"/>
          <w:sz w:val="32"/>
          <w:szCs w:val="32"/>
        </w:rPr>
        <w:t>㎡</w:t>
      </w:r>
      <w:r>
        <w:rPr>
          <w:rFonts w:hint="eastAsia" w:ascii="仿宋_GB2312" w:hAnsi="仿宋" w:eastAsia="仿宋_GB2312" w:cs="华文楷体"/>
          <w:color w:val="000000" w:themeColor="text1"/>
          <w:sz w:val="32"/>
          <w:szCs w:val="32"/>
        </w:rPr>
        <w:t>，开工建设给水加压泵站，完成约4千米天然气管道施工。初步形成以鱼峰区南片区发展为统领，洛维工业园区与河表片区、静脉产业园、里雍镇连片联动发展的新格局。</w:t>
      </w:r>
    </w:p>
    <w:p w14:paraId="4A691AE8">
      <w:pPr>
        <w:ind w:firstLine="643"/>
        <w:jc w:val="both"/>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智慧城市加快推进。</w:t>
      </w:r>
      <w:r>
        <w:rPr>
          <w:rFonts w:hint="eastAsia" w:ascii="仿宋_GB2312" w:hAnsi="仿宋" w:eastAsia="仿宋_GB2312" w:cs="华文楷体"/>
          <w:color w:val="000000" w:themeColor="text1"/>
          <w:sz w:val="32"/>
          <w:szCs w:val="32"/>
        </w:rPr>
        <w:t>建设完成鱼峰区电子政务外网，完成鱼峰区政府政务APP、创城管理工作平台、“智慧扶贫”应用系统、“鱼峰区网格社会管理信息系统”等开发。社区管理、社区服务、社区医疗、社区政务、社区安全等步入一体化智慧应用阶段。</w:t>
      </w:r>
    </w:p>
    <w:p w14:paraId="0D1DC827">
      <w:pPr>
        <w:pStyle w:val="4"/>
        <w:numPr>
          <w:ilvl w:val="0"/>
          <w:numId w:val="1"/>
        </w:numPr>
        <w:ind w:left="0" w:leftChars="0" w:firstLine="643" w:firstLineChars="200"/>
        <w:rPr>
          <w:rFonts w:ascii="仿宋_GB2312" w:eastAsia="仿宋_GB2312"/>
          <w:color w:val="000000" w:themeColor="text1"/>
        </w:rPr>
      </w:pPr>
      <w:bookmarkStart w:id="8" w:name="_Toc71816227"/>
      <w:r>
        <w:rPr>
          <w:rFonts w:hint="eastAsia" w:ascii="仿宋_GB2312" w:eastAsia="仿宋_GB2312"/>
          <w:color w:val="000000" w:themeColor="text1"/>
        </w:rPr>
        <w:t>人民生活不断改善</w:t>
      </w:r>
      <w:bookmarkEnd w:id="8"/>
    </w:p>
    <w:p w14:paraId="2D28AD05">
      <w:pPr>
        <w:ind w:firstLine="643"/>
        <w:jc w:val="both"/>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人民生活水平大幅提高。</w:t>
      </w:r>
      <w:r>
        <w:rPr>
          <w:rFonts w:hint="eastAsia" w:ascii="仿宋_GB2312" w:hAnsi="仿宋" w:eastAsia="仿宋_GB2312" w:cs="华文楷体"/>
          <w:color w:val="000000" w:themeColor="text1"/>
          <w:sz w:val="32"/>
          <w:szCs w:val="32"/>
        </w:rPr>
        <w:t>2020年，城乡居民收入分别实现43651元和27616元，比“十二五”末分别增长7.4%和 9.1%。就业服务体系逐步健全，城镇登记失业率控制在4.5%以内的较低水平。社会保障体系进一步完善，基本实现应保尽保，2019年鱼峰区参加城镇职工基本医疗保险89673人，参加城乡居民基本医疗保险148971人。深化药品集采制度改革，参保群众就医成本大幅下降，村卫生室开通医保直接结算，糖尿病、高血压“两病”处方权下放，推进城乡医疗保障公共服务均等化，实现全民有医保，健康有保障。</w:t>
      </w:r>
    </w:p>
    <w:p w14:paraId="64E5B249">
      <w:pPr>
        <w:ind w:firstLine="643"/>
        <w:jc w:val="both"/>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扎实推进城乡困难群众脱困解困工作</w:t>
      </w:r>
      <w:r>
        <w:rPr>
          <w:rFonts w:hint="eastAsia" w:ascii="仿宋_GB2312" w:hAnsi="仿宋" w:eastAsia="仿宋_GB2312" w:cs="华文楷体"/>
          <w:color w:val="000000" w:themeColor="text1"/>
          <w:sz w:val="32"/>
          <w:szCs w:val="32"/>
        </w:rPr>
        <w:t>。社会救助水平稳步提高，城镇和农村低保覆盖率分别达到2%和4%的目标。实现基本医疗保险、大病保险、医疗救助三重保障制度有效衔接，社会救助水平大幅提升，2020年医疗救助支出1031.33万元，救助19665人次，分别是“十三五”期初的3.54倍，12.52倍。着力完善住房保障体系，城镇低收家庭及新市民住房租赁补贴制度建立健全。社会养老体系逐步成型，政府购买居家养老服务累计投入资金413.39万元，服务次数5.6万次。建立健全退役军人服务保障体系，实现困难退役军人帮扶援助常态化，尊崇军人职业社会氛围明显提升。</w:t>
      </w:r>
    </w:p>
    <w:p w14:paraId="62F0C141">
      <w:pPr>
        <w:pStyle w:val="4"/>
        <w:numPr>
          <w:ilvl w:val="0"/>
          <w:numId w:val="1"/>
        </w:numPr>
        <w:ind w:left="0" w:leftChars="0" w:firstLine="643" w:firstLineChars="200"/>
        <w:rPr>
          <w:rFonts w:ascii="仿宋_GB2312" w:eastAsia="仿宋_GB2312"/>
          <w:color w:val="000000" w:themeColor="text1"/>
        </w:rPr>
      </w:pPr>
      <w:bookmarkStart w:id="9" w:name="_Toc71816228"/>
      <w:r>
        <w:rPr>
          <w:rFonts w:hint="eastAsia" w:ascii="仿宋_GB2312" w:eastAsia="仿宋_GB2312"/>
          <w:color w:val="000000" w:themeColor="text1"/>
        </w:rPr>
        <w:t>社会事业全面进步</w:t>
      </w:r>
      <w:bookmarkEnd w:id="9"/>
    </w:p>
    <w:p w14:paraId="08F935FE">
      <w:pPr>
        <w:ind w:firstLine="643"/>
        <w:jc w:val="both"/>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教育优质均衡发展。</w:t>
      </w:r>
      <w:r>
        <w:rPr>
          <w:rFonts w:hint="eastAsia" w:ascii="仿宋_GB2312" w:hAnsi="仿宋" w:eastAsia="仿宋_GB2312" w:cs="华文楷体"/>
          <w:color w:val="000000" w:themeColor="text1"/>
          <w:sz w:val="32"/>
          <w:szCs w:val="32"/>
        </w:rPr>
        <w:t>基础教育均衡进一步优化，义务教育学区制管理改革有序推进。率先在柳州市探索“1+N”(即“名校+弱校”）的“大学区”办学模式,积极探索“中学+小学”学区联盟办学。全力推进中小学和学前教育的规划布点建设，总投入约5.93亿元，新增德润中学、德润小学等6所中小学，增加学位14350个。启动鱼峰区第二届“梯级名师队伍建设工程”项目，甄选出500多名骨干教师。义务教育城乡一体化发展深入推进，里雍白沙两镇学校教育质量显著提升，区教育系统6个项目获柳州市教育改革创新奖，荣获全国义务教育基本均衡县（区）、列为国家教育信息化试验区。</w:t>
      </w:r>
    </w:p>
    <w:p w14:paraId="1F84F321">
      <w:pPr>
        <w:ind w:firstLine="643"/>
        <w:jc w:val="both"/>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公共卫生服务体系建设不断增强。</w:t>
      </w:r>
      <w:r>
        <w:rPr>
          <w:rFonts w:hint="eastAsia" w:ascii="仿宋_GB2312" w:hAnsi="仿宋" w:eastAsia="仿宋_GB2312" w:cs="华文楷体"/>
          <w:color w:val="000000" w:themeColor="text1"/>
          <w:sz w:val="32"/>
          <w:szCs w:val="32"/>
        </w:rPr>
        <w:t>加强传染病网络直报系统建设和管理，完善妇幼健康服务“六网”、突发公共事件卫生应急体系建设，社区卫生服务中心（站）规范化建设达标率100%。加快医联体建设，共21家基层医疗卫生机构参与，参与率100%。新冠疫情期间，第一时间启动联防联控机制，确保责任落实、防控措施、全面排查、有效隔离、科学救治、物资供应、工作保障七个到位，实现自2020年2月15日之后无新增病例。获得全国中医药健康促进县（区）称号。</w:t>
      </w:r>
    </w:p>
    <w:p w14:paraId="1C7861CD">
      <w:pPr>
        <w:ind w:firstLine="643"/>
        <w:jc w:val="both"/>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文化建设成果显著。</w:t>
      </w:r>
      <w:r>
        <w:rPr>
          <w:rFonts w:hint="eastAsia" w:ascii="仿宋_GB2312" w:hAnsi="仿宋" w:eastAsia="仿宋_GB2312" w:cs="华文楷体"/>
          <w:color w:val="000000" w:themeColor="text1"/>
          <w:sz w:val="32"/>
          <w:szCs w:val="32"/>
        </w:rPr>
        <w:t>打造了以“鱼峰歌圩·三月三”传统山歌赛为主的壮乡山歌特色品牌和以“小歌仙”艺术团为主的文化交流品牌，培育创新“立鱼欢歌”、“每月一星”等群众文化品牌，举办“紫荆花”主题文旅活动，打造新时代鱼峰文旅品牌。区文化馆、图书馆改造提升，城区“非遗”传承基地建成对外开放，“鱼峰歌圩”文化活动中心城区覆盖率达100%，柳州市全民健身与全民健康深度融合试点工作、智慧广电工作顺利推进。荣膺中国民间文化艺术之乡、广西民族团结进步示范区。</w:t>
      </w:r>
    </w:p>
    <w:p w14:paraId="784680BA">
      <w:pPr>
        <w:ind w:firstLine="643"/>
        <w:jc w:val="both"/>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生态环境质量显著改善。</w:t>
      </w:r>
      <w:r>
        <w:rPr>
          <w:rFonts w:hint="eastAsia" w:ascii="仿宋_GB2312" w:hAnsi="仿宋" w:eastAsia="仿宋_GB2312" w:cs="华文楷体"/>
          <w:color w:val="000000" w:themeColor="text1"/>
          <w:sz w:val="32"/>
          <w:szCs w:val="32"/>
        </w:rPr>
        <w:t>地表水环境质量全国排行名列前茅，水体质量达标率100%。2</w:t>
      </w:r>
      <w:r>
        <w:rPr>
          <w:rFonts w:ascii="仿宋_GB2312" w:hAnsi="仿宋" w:eastAsia="仿宋_GB2312" w:cs="华文楷体"/>
          <w:color w:val="000000" w:themeColor="text1"/>
          <w:sz w:val="32"/>
          <w:szCs w:val="32"/>
        </w:rPr>
        <w:t>020</w:t>
      </w:r>
      <w:r>
        <w:rPr>
          <w:rFonts w:hint="eastAsia" w:ascii="仿宋_GB2312" w:hAnsi="仿宋" w:eastAsia="仿宋_GB2312" w:cs="华文楷体"/>
          <w:color w:val="000000" w:themeColor="text1"/>
          <w:sz w:val="32"/>
          <w:szCs w:val="32"/>
        </w:rPr>
        <w:t>年，环境空气质量优良率达到96.7%，PM2.5和PM10分别下降15.2%和16.9%；森林覆盖率达50.73%，创历史新高。</w:t>
      </w:r>
    </w:p>
    <w:p w14:paraId="46084170">
      <w:pPr>
        <w:ind w:firstLine="640"/>
        <w:jc w:val="both"/>
        <w:rPr>
          <w:rFonts w:ascii="仿宋_GB2312" w:hAnsi="仿宋" w:eastAsia="仿宋_GB2312" w:cs="华文楷体"/>
          <w:color w:val="000000" w:themeColor="text1"/>
          <w:sz w:val="32"/>
          <w:szCs w:val="32"/>
        </w:rPr>
      </w:pPr>
      <w:r>
        <w:rPr>
          <w:rFonts w:hint="eastAsia" w:ascii="仿宋_GB2312" w:hAnsi="仿宋" w:eastAsia="仿宋_GB2312" w:cs="华文楷体"/>
          <w:color w:val="000000" w:themeColor="text1"/>
          <w:sz w:val="32"/>
          <w:szCs w:val="32"/>
        </w:rPr>
        <w:t>法制宣传、妇女儿童、防震减灾、民防、应急、气象、档案、民族、宗教、侨务、残疾人等各项事业全面推进。</w:t>
      </w:r>
    </w:p>
    <w:p w14:paraId="73AB5043">
      <w:pPr>
        <w:pStyle w:val="4"/>
        <w:numPr>
          <w:ilvl w:val="0"/>
          <w:numId w:val="1"/>
        </w:numPr>
        <w:ind w:left="0" w:leftChars="0" w:firstLine="643" w:firstLineChars="200"/>
        <w:rPr>
          <w:rFonts w:ascii="仿宋_GB2312" w:eastAsia="仿宋_GB2312"/>
          <w:color w:val="000000" w:themeColor="text1"/>
        </w:rPr>
      </w:pPr>
      <w:bookmarkStart w:id="10" w:name="_Toc71816229"/>
      <w:r>
        <w:rPr>
          <w:rFonts w:hint="eastAsia" w:ascii="仿宋_GB2312" w:eastAsia="仿宋_GB2312"/>
          <w:color w:val="000000" w:themeColor="text1"/>
        </w:rPr>
        <w:t>城乡统筹有序提升</w:t>
      </w:r>
      <w:bookmarkEnd w:id="10"/>
    </w:p>
    <w:p w14:paraId="54836B7E">
      <w:pPr>
        <w:ind w:firstLine="643"/>
        <w:jc w:val="both"/>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大力推进向南战略。</w:t>
      </w:r>
      <w:r>
        <w:rPr>
          <w:rFonts w:hint="eastAsia" w:ascii="仿宋_GB2312" w:hAnsi="仿宋" w:eastAsia="仿宋_GB2312" w:cs="华文楷体"/>
          <w:color w:val="000000" w:themeColor="text1"/>
          <w:sz w:val="32"/>
          <w:szCs w:val="32"/>
        </w:rPr>
        <w:t>2018年5月31日，原柳江区里雍、白沙两镇正式划转鱼峰区后，迅速提档升级“重点向南”发展战略，进一步细化南片区路网、公共设施、产业布局等布点规划；加快河表工业园区交接，推动洛维工业园区与河表工业园区整体连片发展，打造“大健康”产业集聚区。</w:t>
      </w:r>
    </w:p>
    <w:p w14:paraId="0EF6C9AB">
      <w:pPr>
        <w:ind w:firstLine="643"/>
        <w:jc w:val="both"/>
        <w:rPr>
          <w:rFonts w:ascii="仿宋_GB2312" w:hAnsi="仿宋" w:eastAsia="仿宋_GB2312" w:cs="仿宋"/>
          <w:color w:val="000000" w:themeColor="text1"/>
          <w:sz w:val="32"/>
          <w:szCs w:val="32"/>
        </w:rPr>
      </w:pPr>
      <w:r>
        <w:rPr>
          <w:rFonts w:hint="eastAsia" w:ascii="仿宋_GB2312" w:hAnsi="仿宋" w:eastAsia="仿宋_GB2312" w:cs="仿宋"/>
          <w:b/>
          <w:bCs/>
          <w:color w:val="000000" w:themeColor="text1"/>
          <w:sz w:val="32"/>
          <w:szCs w:val="32"/>
        </w:rPr>
        <w:t>深入推进乡村振兴。</w:t>
      </w:r>
      <w:r>
        <w:rPr>
          <w:rFonts w:hint="eastAsia" w:ascii="仿宋_GB2312" w:hAnsi="仿宋" w:eastAsia="仿宋_GB2312" w:cs="仿宋"/>
          <w:color w:val="000000" w:themeColor="text1"/>
          <w:sz w:val="32"/>
          <w:szCs w:val="32"/>
        </w:rPr>
        <w:t>实现20户以上自然村（屯）道路硬化全覆盖，完成建制村100%通客车。加强两镇水利工程建设，积极推进渠道整治项目。深入开展“美丽鱼峰•系列乡村”建设，深入推进乡村振兴,建设城乡统筹发展示范区。白沙镇王眉村荣获美丽乡村博鳌国际峰会“全国百佳旅游目的地”称号。</w:t>
      </w:r>
    </w:p>
    <w:p w14:paraId="23DA2BA2">
      <w:pPr>
        <w:ind w:firstLine="643"/>
        <w:jc w:val="both"/>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全面打赢脱贫攻坚战。</w:t>
      </w:r>
      <w:r>
        <w:rPr>
          <w:rFonts w:hint="eastAsia" w:ascii="仿宋_GB2312" w:hAnsi="仿宋" w:eastAsia="仿宋_GB2312" w:cs="华文楷体"/>
          <w:color w:val="000000" w:themeColor="text1"/>
          <w:sz w:val="32"/>
          <w:szCs w:val="32"/>
        </w:rPr>
        <w:t>深入实施精准帮扶，扎实开展“四大战役”和“三大提升”行动，积极发挥大数据在脱贫攻坚中的作用，实现“智慧脱贫”。在2019年提前一年实现全部贫困人口脱贫，所有贫困村出列的基础上，实现所有行政村集体经济年收入达 5万元以上，所有贫困户的人均年收入达到6000元以上，在自治区2019年度“四合一”考核中获得好的等次，扶贫资金成效专项考核连续两年获得自治区第一名。</w:t>
      </w:r>
    </w:p>
    <w:p w14:paraId="1F601A8A">
      <w:pPr>
        <w:pStyle w:val="4"/>
        <w:numPr>
          <w:ilvl w:val="0"/>
          <w:numId w:val="1"/>
        </w:numPr>
        <w:ind w:left="0" w:leftChars="0" w:firstLine="643" w:firstLineChars="200"/>
        <w:rPr>
          <w:rFonts w:ascii="仿宋_GB2312" w:eastAsia="仿宋_GB2312"/>
          <w:color w:val="000000" w:themeColor="text1"/>
        </w:rPr>
      </w:pPr>
      <w:bookmarkStart w:id="11" w:name="_Toc71816230"/>
      <w:r>
        <w:rPr>
          <w:rFonts w:hint="eastAsia" w:ascii="仿宋_GB2312" w:eastAsia="仿宋_GB2312"/>
          <w:color w:val="000000" w:themeColor="text1"/>
        </w:rPr>
        <w:t>体制改革稳步推进</w:t>
      </w:r>
      <w:bookmarkEnd w:id="11"/>
    </w:p>
    <w:p w14:paraId="5B8C2306">
      <w:pPr>
        <w:ind w:firstLine="643"/>
        <w:jc w:val="both"/>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营商环境持续优化。</w:t>
      </w:r>
      <w:r>
        <w:rPr>
          <w:rFonts w:hint="eastAsia" w:ascii="仿宋_GB2312" w:hAnsi="仿宋" w:eastAsia="仿宋_GB2312" w:cs="华文楷体"/>
          <w:color w:val="000000" w:themeColor="text1"/>
          <w:sz w:val="32"/>
          <w:szCs w:val="32"/>
        </w:rPr>
        <w:t>扎实开展“优化营商环境突破年”活动，持续深化“放管服”改革。设立“企业服务中心”，为企业经济活动保驾护航。设立企业开办综合服务窗口，政务服务事项实现“一窗办多事”。广西数字政务一体化平台政务服务事项网上可办率100%，企业登记注册时间由原来3个工作日缩减至0.5个工作日,食品经营许可证、营业执照已实现“零见面审批”,一般企业注销办理在1个工作日内完成，工程建设项目备案类40个工作日完成，工程建设项目核准类53个工作日完成。主要营商环境评价指标进入广西前列。</w:t>
      </w:r>
    </w:p>
    <w:p w14:paraId="5E2C468C">
      <w:pPr>
        <w:ind w:firstLine="643"/>
        <w:jc w:val="both"/>
        <w:rPr>
          <w:rFonts w:hint="eastAsia"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社会治理全面优化。</w:t>
      </w:r>
      <w:r>
        <w:rPr>
          <w:rFonts w:hint="eastAsia" w:ascii="仿宋_GB2312" w:hAnsi="仿宋" w:eastAsia="仿宋_GB2312" w:cs="华文楷体"/>
          <w:color w:val="000000" w:themeColor="text1"/>
          <w:sz w:val="32"/>
          <w:szCs w:val="32"/>
        </w:rPr>
        <w:t>进一步理顺两镇行政管理体制机制，提升社区工作服务水平。加快智慧城市建设，全面开展社区网格化管理，开展智慧平安数据资源建设，政府门户网站建设在全广西排名前列。“平安鱼峰”建设卓有成效，群众安全感满意度进一步提升，荣获广西平安建设先进县区。深入开展扫黑除恶专项斗争，成效满意度达99.32%，位列自治区第一。积极探索建立市场监管新机制，全面实施“双随机、一公开”监管工作，深入推进市场信用监管体系建设。充实完善区食安委架构，聚焦食品安全，推动食品生产、流通、餐饮环节全过程监管，扎实推进学校食堂“明厨亮灶”工程建设。积极构建安全风险分级管控和隐患排查治理双重预防机制，进一步做好安全生产、防汛抗旱、森林防灭火、防灾减灾救灾等应急管理工作，加强应急物资储备、灾害监测预警、应急队伍建设，促进安全生产形势持续稳定向好。农村土地承包经营权确权登记颁证试点工作通过自治区验收，农村集体资产清产核资工作全面完成。</w:t>
      </w:r>
    </w:p>
    <w:p w14:paraId="5C2CF5E6">
      <w:pPr>
        <w:ind w:firstLine="640"/>
        <w:jc w:val="left"/>
        <w:rPr>
          <w:rFonts w:hint="eastAsia" w:ascii="仿宋_GB2312" w:hAnsi="仿宋" w:eastAsia="仿宋_GB2312" w:cs="华文楷体"/>
          <w:color w:val="000000" w:themeColor="text1"/>
          <w:sz w:val="32"/>
          <w:szCs w:val="32"/>
        </w:rPr>
      </w:pPr>
    </w:p>
    <w:p w14:paraId="688E210E">
      <w:pPr>
        <w:ind w:firstLine="640"/>
        <w:jc w:val="left"/>
        <w:rPr>
          <w:rFonts w:hint="eastAsia" w:ascii="仿宋_GB2312" w:hAnsi="仿宋" w:eastAsia="仿宋_GB2312" w:cs="华文楷体"/>
          <w:color w:val="000000" w:themeColor="text1"/>
          <w:sz w:val="32"/>
          <w:szCs w:val="32"/>
        </w:rPr>
      </w:pPr>
    </w:p>
    <w:p w14:paraId="4FC6DA2F">
      <w:pPr>
        <w:ind w:firstLine="640"/>
        <w:jc w:val="left"/>
        <w:rPr>
          <w:rFonts w:ascii="仿宋_GB2312" w:hAnsi="仿宋" w:eastAsia="仿宋_GB2312" w:cs="华文楷体"/>
          <w:color w:val="000000" w:themeColor="text1"/>
          <w:sz w:val="32"/>
          <w:szCs w:val="32"/>
        </w:rPr>
      </w:pPr>
    </w:p>
    <w:p w14:paraId="4FE3A301">
      <w:pPr>
        <w:ind w:firstLine="640"/>
        <w:jc w:val="center"/>
        <w:rPr>
          <w:rFonts w:ascii="黑体" w:hAnsi="黑体" w:eastAsia="黑体" w:cs="华文楷体"/>
          <w:color w:val="000000" w:themeColor="text1"/>
          <w:sz w:val="32"/>
          <w:szCs w:val="32"/>
        </w:rPr>
      </w:pPr>
      <w:r>
        <w:rPr>
          <w:rFonts w:hint="eastAsia" w:ascii="黑体" w:hAnsi="黑体" w:eastAsia="黑体" w:cs="华文楷体"/>
          <w:color w:val="000000" w:themeColor="text1"/>
          <w:sz w:val="32"/>
          <w:szCs w:val="32"/>
          <w:lang w:eastAsia="zh-CN"/>
        </w:rPr>
        <w:t>“十三五”规划</w:t>
      </w:r>
      <w:r>
        <w:rPr>
          <w:rFonts w:hint="eastAsia" w:ascii="黑体" w:hAnsi="黑体" w:eastAsia="黑体" w:cs="华文楷体"/>
          <w:color w:val="000000" w:themeColor="text1"/>
          <w:sz w:val="32"/>
          <w:szCs w:val="32"/>
        </w:rPr>
        <w:t>主要指标完成情况</w:t>
      </w:r>
    </w:p>
    <w:tbl>
      <w:tblPr>
        <w:tblStyle w:val="10"/>
        <w:tblW w:w="8692"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560"/>
        <w:gridCol w:w="870"/>
        <w:gridCol w:w="1158"/>
        <w:gridCol w:w="1020"/>
        <w:gridCol w:w="1065"/>
        <w:gridCol w:w="1173"/>
      </w:tblGrid>
      <w:tr w14:paraId="4B19479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noWrap/>
            <w:textDirection w:val="tbRlV"/>
          </w:tcPr>
          <w:p w14:paraId="5C4A9122">
            <w:pPr>
              <w:spacing w:line="360" w:lineRule="auto"/>
              <w:ind w:left="113" w:right="113"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类别</w:t>
            </w:r>
          </w:p>
        </w:tc>
        <w:tc>
          <w:tcPr>
            <w:tcW w:w="2560" w:type="dxa"/>
            <w:vMerge w:val="restart"/>
            <w:noWrap/>
            <w:vAlign w:val="center"/>
          </w:tcPr>
          <w:p w14:paraId="4B6850E9">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指标名称</w:t>
            </w:r>
          </w:p>
        </w:tc>
        <w:tc>
          <w:tcPr>
            <w:tcW w:w="2028" w:type="dxa"/>
            <w:gridSpan w:val="2"/>
            <w:noWrap/>
            <w:vAlign w:val="center"/>
          </w:tcPr>
          <w:p w14:paraId="0AA4C81E">
            <w:pPr>
              <w:spacing w:line="360" w:lineRule="auto"/>
              <w:ind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“十三五”规划目标</w:t>
            </w:r>
          </w:p>
        </w:tc>
        <w:tc>
          <w:tcPr>
            <w:tcW w:w="2085" w:type="dxa"/>
            <w:gridSpan w:val="2"/>
            <w:noWrap/>
            <w:vAlign w:val="center"/>
          </w:tcPr>
          <w:p w14:paraId="41BCD717">
            <w:pPr>
              <w:spacing w:line="360" w:lineRule="auto"/>
              <w:ind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“十三五”完成情况</w:t>
            </w:r>
          </w:p>
        </w:tc>
        <w:tc>
          <w:tcPr>
            <w:tcW w:w="1173" w:type="dxa"/>
            <w:vMerge w:val="restart"/>
            <w:noWrap/>
            <w:vAlign w:val="center"/>
          </w:tcPr>
          <w:p w14:paraId="1FCEDBA1">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属性</w:t>
            </w:r>
          </w:p>
        </w:tc>
      </w:tr>
      <w:tr w14:paraId="293D7C0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Merge w:val="continue"/>
          </w:tcPr>
          <w:p w14:paraId="3CDC1D91">
            <w:pPr>
              <w:spacing w:line="360" w:lineRule="auto"/>
              <w:ind w:firstLine="480" w:firstLineChars="200"/>
              <w:rPr>
                <w:rFonts w:hint="eastAsia" w:ascii="宋体" w:hAnsi="宋体" w:eastAsia="宋体" w:cs="宋体"/>
                <w:color w:val="000000"/>
                <w:kern w:val="0"/>
                <w:sz w:val="24"/>
                <w:szCs w:val="24"/>
              </w:rPr>
            </w:pPr>
          </w:p>
        </w:tc>
        <w:tc>
          <w:tcPr>
            <w:tcW w:w="2560" w:type="dxa"/>
            <w:vMerge w:val="continue"/>
            <w:vAlign w:val="center"/>
          </w:tcPr>
          <w:p w14:paraId="21D52072">
            <w:pPr>
              <w:spacing w:line="360" w:lineRule="auto"/>
              <w:ind w:firstLine="480" w:firstLineChars="200"/>
              <w:rPr>
                <w:rFonts w:hint="eastAsia" w:ascii="宋体" w:hAnsi="宋体" w:eastAsia="宋体" w:cs="宋体"/>
                <w:color w:val="000000"/>
                <w:kern w:val="0"/>
                <w:sz w:val="24"/>
                <w:szCs w:val="24"/>
              </w:rPr>
            </w:pPr>
          </w:p>
        </w:tc>
        <w:tc>
          <w:tcPr>
            <w:tcW w:w="870" w:type="dxa"/>
            <w:noWrap/>
            <w:vAlign w:val="center"/>
          </w:tcPr>
          <w:p w14:paraId="434C89E3">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总量</w:t>
            </w:r>
          </w:p>
        </w:tc>
        <w:tc>
          <w:tcPr>
            <w:tcW w:w="1158" w:type="dxa"/>
            <w:noWrap/>
            <w:vAlign w:val="center"/>
          </w:tcPr>
          <w:p w14:paraId="55B86F2F">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年均增长</w:t>
            </w:r>
          </w:p>
        </w:tc>
        <w:tc>
          <w:tcPr>
            <w:tcW w:w="1020" w:type="dxa"/>
            <w:noWrap/>
            <w:vAlign w:val="center"/>
          </w:tcPr>
          <w:p w14:paraId="4F676D4C">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总量</w:t>
            </w:r>
          </w:p>
        </w:tc>
        <w:tc>
          <w:tcPr>
            <w:tcW w:w="1065" w:type="dxa"/>
            <w:noWrap/>
            <w:vAlign w:val="center"/>
          </w:tcPr>
          <w:p w14:paraId="4482F874">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年均增长</w:t>
            </w:r>
          </w:p>
        </w:tc>
        <w:tc>
          <w:tcPr>
            <w:tcW w:w="1173" w:type="dxa"/>
            <w:vMerge w:val="continue"/>
            <w:vAlign w:val="center"/>
          </w:tcPr>
          <w:p w14:paraId="3682E019">
            <w:pPr>
              <w:spacing w:line="360" w:lineRule="auto"/>
              <w:ind w:firstLine="480" w:firstLineChars="200"/>
              <w:jc w:val="center"/>
              <w:rPr>
                <w:rFonts w:hint="eastAsia" w:ascii="宋体" w:hAnsi="宋体" w:eastAsia="宋体" w:cs="宋体"/>
                <w:color w:val="000000"/>
                <w:kern w:val="0"/>
                <w:sz w:val="24"/>
                <w:szCs w:val="24"/>
              </w:rPr>
            </w:pPr>
          </w:p>
        </w:tc>
      </w:tr>
      <w:tr w14:paraId="388929E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Merge w:val="restart"/>
            <w:noWrap/>
            <w:textDirection w:val="tbRlV"/>
          </w:tcPr>
          <w:p w14:paraId="38F45C96">
            <w:pPr>
              <w:spacing w:line="360" w:lineRule="auto"/>
              <w:ind w:left="113" w:right="113"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经济发展</w:t>
            </w:r>
          </w:p>
        </w:tc>
        <w:tc>
          <w:tcPr>
            <w:tcW w:w="2560" w:type="dxa"/>
            <w:noWrap/>
            <w:vAlign w:val="center"/>
          </w:tcPr>
          <w:p w14:paraId="3CAFFAFF">
            <w:pPr>
              <w:spacing w:line="360" w:lineRule="auto"/>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地区生产总值（亿元）</w:t>
            </w:r>
          </w:p>
        </w:tc>
        <w:tc>
          <w:tcPr>
            <w:tcW w:w="870" w:type="dxa"/>
            <w:shd w:val="clear" w:color="auto" w:fill="auto"/>
            <w:noWrap/>
            <w:vAlign w:val="center"/>
          </w:tcPr>
          <w:p w14:paraId="1B0B0718">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8" w:type="dxa"/>
            <w:shd w:val="clear" w:color="auto" w:fill="auto"/>
            <w:noWrap/>
            <w:vAlign w:val="center"/>
          </w:tcPr>
          <w:p w14:paraId="7381DFB9">
            <w:pPr>
              <w:spacing w:line="360" w:lineRule="auto"/>
              <w:ind w:firstLine="240" w:firstLineChars="10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020" w:type="dxa"/>
            <w:shd w:val="clear" w:color="auto" w:fill="auto"/>
            <w:noWrap/>
            <w:vAlign w:val="center"/>
          </w:tcPr>
          <w:p w14:paraId="6678B226">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065" w:type="dxa"/>
            <w:shd w:val="clear" w:color="auto" w:fill="auto"/>
            <w:noWrap/>
            <w:vAlign w:val="center"/>
          </w:tcPr>
          <w:p w14:paraId="24236B5C">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w:t>
            </w:r>
          </w:p>
        </w:tc>
        <w:tc>
          <w:tcPr>
            <w:tcW w:w="1173" w:type="dxa"/>
            <w:noWrap/>
            <w:vAlign w:val="center"/>
          </w:tcPr>
          <w:p w14:paraId="7BEA11FB">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预期性</w:t>
            </w:r>
          </w:p>
        </w:tc>
      </w:tr>
      <w:tr w14:paraId="4ED75C0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Merge w:val="continue"/>
          </w:tcPr>
          <w:p w14:paraId="179B3430">
            <w:pPr>
              <w:spacing w:line="360" w:lineRule="auto"/>
              <w:ind w:firstLine="480" w:firstLineChars="200"/>
              <w:rPr>
                <w:rFonts w:hint="eastAsia" w:ascii="宋体" w:hAnsi="宋体" w:eastAsia="宋体" w:cs="宋体"/>
                <w:color w:val="000000"/>
                <w:kern w:val="0"/>
                <w:sz w:val="24"/>
                <w:szCs w:val="24"/>
              </w:rPr>
            </w:pPr>
          </w:p>
        </w:tc>
        <w:tc>
          <w:tcPr>
            <w:tcW w:w="2560" w:type="dxa"/>
            <w:noWrap/>
            <w:vAlign w:val="center"/>
          </w:tcPr>
          <w:p w14:paraId="2212E6EB">
            <w:pPr>
              <w:spacing w:line="360" w:lineRule="auto"/>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财政收入（亿元）</w:t>
            </w:r>
          </w:p>
        </w:tc>
        <w:tc>
          <w:tcPr>
            <w:tcW w:w="870" w:type="dxa"/>
            <w:shd w:val="clear" w:color="auto" w:fill="auto"/>
            <w:noWrap/>
            <w:vAlign w:val="center"/>
          </w:tcPr>
          <w:p w14:paraId="26022B04">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1158" w:type="dxa"/>
            <w:shd w:val="clear" w:color="auto" w:fill="auto"/>
            <w:noWrap/>
            <w:vAlign w:val="center"/>
          </w:tcPr>
          <w:p w14:paraId="33A614C3">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020" w:type="dxa"/>
            <w:shd w:val="clear" w:color="auto" w:fill="auto"/>
            <w:noWrap/>
            <w:vAlign w:val="center"/>
          </w:tcPr>
          <w:p w14:paraId="4520C993">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39.97（2019）</w:t>
            </w:r>
          </w:p>
        </w:tc>
        <w:tc>
          <w:tcPr>
            <w:tcW w:w="1065" w:type="dxa"/>
            <w:shd w:val="clear" w:color="auto" w:fill="auto"/>
            <w:noWrap/>
            <w:vAlign w:val="center"/>
          </w:tcPr>
          <w:p w14:paraId="5C3167D2">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5.7</w:t>
            </w:r>
          </w:p>
        </w:tc>
        <w:tc>
          <w:tcPr>
            <w:tcW w:w="1173" w:type="dxa"/>
            <w:noWrap/>
            <w:vAlign w:val="center"/>
          </w:tcPr>
          <w:p w14:paraId="4255D3FD">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预期性</w:t>
            </w:r>
          </w:p>
        </w:tc>
      </w:tr>
      <w:tr w14:paraId="4F28307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Merge w:val="continue"/>
          </w:tcPr>
          <w:p w14:paraId="32893A1B">
            <w:pPr>
              <w:spacing w:line="360" w:lineRule="auto"/>
              <w:ind w:firstLine="480" w:firstLineChars="200"/>
              <w:rPr>
                <w:rFonts w:hint="eastAsia" w:ascii="宋体" w:hAnsi="宋体" w:eastAsia="宋体" w:cs="宋体"/>
                <w:color w:val="000000"/>
                <w:kern w:val="0"/>
                <w:sz w:val="24"/>
                <w:szCs w:val="24"/>
              </w:rPr>
            </w:pPr>
          </w:p>
        </w:tc>
        <w:tc>
          <w:tcPr>
            <w:tcW w:w="2560" w:type="dxa"/>
            <w:noWrap/>
            <w:vAlign w:val="center"/>
          </w:tcPr>
          <w:p w14:paraId="6BA58C1B">
            <w:pPr>
              <w:spacing w:line="360" w:lineRule="auto"/>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固定资产投资（亿元）</w:t>
            </w:r>
          </w:p>
        </w:tc>
        <w:tc>
          <w:tcPr>
            <w:tcW w:w="870" w:type="dxa"/>
            <w:shd w:val="clear" w:color="auto" w:fill="auto"/>
            <w:noWrap/>
            <w:vAlign w:val="center"/>
          </w:tcPr>
          <w:p w14:paraId="4466DFFD">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8" w:type="dxa"/>
            <w:shd w:val="clear" w:color="auto" w:fill="auto"/>
            <w:noWrap/>
            <w:vAlign w:val="center"/>
          </w:tcPr>
          <w:p w14:paraId="40EF1E4B">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1020" w:type="dxa"/>
            <w:shd w:val="clear" w:color="auto" w:fill="auto"/>
            <w:noWrap/>
            <w:vAlign w:val="center"/>
          </w:tcPr>
          <w:p w14:paraId="7978E8BF">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065" w:type="dxa"/>
            <w:shd w:val="clear" w:color="auto" w:fill="auto"/>
            <w:noWrap/>
            <w:vAlign w:val="center"/>
          </w:tcPr>
          <w:p w14:paraId="62F8E68A">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12.9</w:t>
            </w:r>
          </w:p>
        </w:tc>
        <w:tc>
          <w:tcPr>
            <w:tcW w:w="1173" w:type="dxa"/>
            <w:noWrap/>
            <w:vAlign w:val="center"/>
          </w:tcPr>
          <w:p w14:paraId="12F2AFC7">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预期性</w:t>
            </w:r>
          </w:p>
        </w:tc>
      </w:tr>
      <w:tr w14:paraId="16B5EB1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Merge w:val="continue"/>
          </w:tcPr>
          <w:p w14:paraId="4969B2C9">
            <w:pPr>
              <w:spacing w:line="360" w:lineRule="auto"/>
              <w:ind w:firstLine="480" w:firstLineChars="200"/>
              <w:rPr>
                <w:rFonts w:hint="eastAsia" w:ascii="宋体" w:hAnsi="宋体" w:eastAsia="宋体" w:cs="宋体"/>
                <w:color w:val="000000"/>
                <w:kern w:val="0"/>
                <w:sz w:val="24"/>
                <w:szCs w:val="24"/>
              </w:rPr>
            </w:pPr>
          </w:p>
        </w:tc>
        <w:tc>
          <w:tcPr>
            <w:tcW w:w="2560" w:type="dxa"/>
            <w:noWrap/>
            <w:vAlign w:val="center"/>
          </w:tcPr>
          <w:p w14:paraId="360E253F">
            <w:pPr>
              <w:spacing w:line="360" w:lineRule="auto"/>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社会消费品零售总额（亿元）</w:t>
            </w:r>
          </w:p>
        </w:tc>
        <w:tc>
          <w:tcPr>
            <w:tcW w:w="870" w:type="dxa"/>
            <w:shd w:val="clear" w:color="auto" w:fill="auto"/>
            <w:noWrap/>
            <w:vAlign w:val="center"/>
          </w:tcPr>
          <w:p w14:paraId="41A8B597">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8" w:type="dxa"/>
            <w:shd w:val="clear" w:color="auto" w:fill="auto"/>
            <w:noWrap/>
            <w:vAlign w:val="center"/>
          </w:tcPr>
          <w:p w14:paraId="2C472783">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1020" w:type="dxa"/>
            <w:shd w:val="clear" w:color="auto" w:fill="auto"/>
            <w:noWrap/>
            <w:vAlign w:val="center"/>
          </w:tcPr>
          <w:p w14:paraId="21F0FD02">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065" w:type="dxa"/>
            <w:shd w:val="clear" w:color="auto" w:fill="auto"/>
            <w:noWrap/>
            <w:vAlign w:val="center"/>
          </w:tcPr>
          <w:p w14:paraId="16B74C78">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w:t>
            </w:r>
          </w:p>
        </w:tc>
        <w:tc>
          <w:tcPr>
            <w:tcW w:w="1173" w:type="dxa"/>
            <w:noWrap/>
            <w:vAlign w:val="center"/>
          </w:tcPr>
          <w:p w14:paraId="736C9F5D">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预期性</w:t>
            </w:r>
          </w:p>
        </w:tc>
      </w:tr>
      <w:tr w14:paraId="2C49DE9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Merge w:val="continue"/>
          </w:tcPr>
          <w:p w14:paraId="17816E5A">
            <w:pPr>
              <w:spacing w:line="360" w:lineRule="auto"/>
              <w:ind w:firstLine="480" w:firstLineChars="200"/>
              <w:rPr>
                <w:rFonts w:hint="eastAsia" w:ascii="宋体" w:hAnsi="宋体" w:eastAsia="宋体" w:cs="宋体"/>
                <w:color w:val="000000"/>
                <w:kern w:val="0"/>
                <w:sz w:val="24"/>
                <w:szCs w:val="24"/>
              </w:rPr>
            </w:pPr>
          </w:p>
        </w:tc>
        <w:tc>
          <w:tcPr>
            <w:tcW w:w="2560" w:type="dxa"/>
            <w:noWrap/>
            <w:vAlign w:val="center"/>
          </w:tcPr>
          <w:p w14:paraId="4F02AE0C">
            <w:pPr>
              <w:spacing w:line="360" w:lineRule="auto"/>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招商引资实际到位资金总额（亿元）</w:t>
            </w:r>
          </w:p>
        </w:tc>
        <w:tc>
          <w:tcPr>
            <w:tcW w:w="870" w:type="dxa"/>
            <w:shd w:val="clear" w:color="auto" w:fill="auto"/>
            <w:noWrap/>
            <w:vAlign w:val="center"/>
          </w:tcPr>
          <w:p w14:paraId="7F6D3D0B">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8" w:type="dxa"/>
            <w:shd w:val="clear" w:color="auto" w:fill="auto"/>
            <w:noWrap/>
            <w:vAlign w:val="center"/>
          </w:tcPr>
          <w:p w14:paraId="7EAF6D5D">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1020" w:type="dxa"/>
            <w:shd w:val="clear" w:color="auto" w:fill="auto"/>
            <w:noWrap/>
            <w:vAlign w:val="center"/>
          </w:tcPr>
          <w:p w14:paraId="7D567B97">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132.05</w:t>
            </w:r>
          </w:p>
        </w:tc>
        <w:tc>
          <w:tcPr>
            <w:tcW w:w="1065" w:type="dxa"/>
            <w:shd w:val="clear" w:color="auto" w:fill="auto"/>
            <w:noWrap/>
            <w:vAlign w:val="center"/>
          </w:tcPr>
          <w:p w14:paraId="2CC536ED">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73" w:type="dxa"/>
            <w:noWrap/>
            <w:vAlign w:val="center"/>
          </w:tcPr>
          <w:p w14:paraId="140D7420">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预期性</w:t>
            </w:r>
          </w:p>
        </w:tc>
      </w:tr>
      <w:tr w14:paraId="4660656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Merge w:val="continue"/>
          </w:tcPr>
          <w:p w14:paraId="03980BC7">
            <w:pPr>
              <w:spacing w:line="360" w:lineRule="auto"/>
              <w:ind w:firstLine="480" w:firstLineChars="200"/>
              <w:rPr>
                <w:rFonts w:hint="eastAsia" w:ascii="宋体" w:hAnsi="宋体" w:eastAsia="宋体" w:cs="宋体"/>
                <w:color w:val="000000"/>
                <w:kern w:val="0"/>
                <w:sz w:val="24"/>
                <w:szCs w:val="24"/>
              </w:rPr>
            </w:pPr>
          </w:p>
        </w:tc>
        <w:tc>
          <w:tcPr>
            <w:tcW w:w="2560" w:type="dxa"/>
            <w:noWrap/>
            <w:vAlign w:val="center"/>
          </w:tcPr>
          <w:p w14:paraId="267F62D2">
            <w:pPr>
              <w:spacing w:line="360" w:lineRule="auto"/>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全部工业总产值（亿元）</w:t>
            </w:r>
          </w:p>
        </w:tc>
        <w:tc>
          <w:tcPr>
            <w:tcW w:w="870" w:type="dxa"/>
            <w:shd w:val="clear" w:color="auto" w:fill="auto"/>
            <w:noWrap/>
            <w:vAlign w:val="center"/>
          </w:tcPr>
          <w:p w14:paraId="68EA8D6B">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8" w:type="dxa"/>
            <w:shd w:val="clear" w:color="auto" w:fill="auto"/>
            <w:noWrap/>
            <w:vAlign w:val="center"/>
          </w:tcPr>
          <w:p w14:paraId="5CD729DA">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6.5</w:t>
            </w:r>
          </w:p>
        </w:tc>
        <w:tc>
          <w:tcPr>
            <w:tcW w:w="1020" w:type="dxa"/>
            <w:shd w:val="clear" w:color="auto" w:fill="auto"/>
            <w:noWrap/>
            <w:vAlign w:val="center"/>
          </w:tcPr>
          <w:p w14:paraId="60240161">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065" w:type="dxa"/>
            <w:shd w:val="clear" w:color="auto" w:fill="auto"/>
            <w:noWrap/>
            <w:vAlign w:val="center"/>
          </w:tcPr>
          <w:p w14:paraId="09F615FD">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73" w:type="dxa"/>
            <w:noWrap/>
            <w:vAlign w:val="center"/>
          </w:tcPr>
          <w:p w14:paraId="09ED29F2">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预期性</w:t>
            </w:r>
          </w:p>
        </w:tc>
      </w:tr>
      <w:tr w14:paraId="3CE4C4A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Merge w:val="continue"/>
          </w:tcPr>
          <w:p w14:paraId="7905138C">
            <w:pPr>
              <w:spacing w:line="360" w:lineRule="auto"/>
              <w:ind w:firstLine="480" w:firstLineChars="200"/>
              <w:rPr>
                <w:rFonts w:hint="eastAsia" w:ascii="宋体" w:hAnsi="宋体" w:eastAsia="宋体" w:cs="宋体"/>
                <w:color w:val="000000"/>
                <w:kern w:val="0"/>
                <w:sz w:val="24"/>
                <w:szCs w:val="24"/>
              </w:rPr>
            </w:pPr>
          </w:p>
        </w:tc>
        <w:tc>
          <w:tcPr>
            <w:tcW w:w="2560" w:type="dxa"/>
            <w:noWrap/>
            <w:vAlign w:val="center"/>
          </w:tcPr>
          <w:p w14:paraId="1DCB6185">
            <w:pPr>
              <w:spacing w:line="360" w:lineRule="auto"/>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服务业增加值（亿元）</w:t>
            </w:r>
          </w:p>
        </w:tc>
        <w:tc>
          <w:tcPr>
            <w:tcW w:w="870" w:type="dxa"/>
            <w:shd w:val="clear" w:color="auto" w:fill="auto"/>
            <w:noWrap/>
            <w:vAlign w:val="center"/>
          </w:tcPr>
          <w:p w14:paraId="6A1E67C8">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8" w:type="dxa"/>
            <w:shd w:val="clear" w:color="auto" w:fill="auto"/>
            <w:noWrap/>
            <w:vAlign w:val="center"/>
          </w:tcPr>
          <w:p w14:paraId="4C0D3146">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1020" w:type="dxa"/>
            <w:shd w:val="clear" w:color="auto" w:fill="auto"/>
            <w:noWrap/>
            <w:vAlign w:val="center"/>
          </w:tcPr>
          <w:p w14:paraId="6BB6CB4E">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065" w:type="dxa"/>
            <w:shd w:val="clear" w:color="auto" w:fill="auto"/>
            <w:noWrap/>
            <w:vAlign w:val="center"/>
          </w:tcPr>
          <w:p w14:paraId="1C714267">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73" w:type="dxa"/>
            <w:noWrap/>
            <w:vAlign w:val="center"/>
          </w:tcPr>
          <w:p w14:paraId="3DE9A667">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预期性</w:t>
            </w:r>
          </w:p>
        </w:tc>
      </w:tr>
      <w:tr w14:paraId="766D6C0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Merge w:val="restart"/>
            <w:noWrap/>
            <w:textDirection w:val="tbRlV"/>
          </w:tcPr>
          <w:p w14:paraId="2782F983">
            <w:pPr>
              <w:spacing w:line="360" w:lineRule="auto"/>
              <w:ind w:left="113" w:right="113"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民生福祉</w:t>
            </w:r>
          </w:p>
        </w:tc>
        <w:tc>
          <w:tcPr>
            <w:tcW w:w="2560" w:type="dxa"/>
            <w:noWrap/>
            <w:vAlign w:val="center"/>
          </w:tcPr>
          <w:p w14:paraId="59D4B9D4">
            <w:pPr>
              <w:spacing w:line="360" w:lineRule="auto"/>
              <w:ind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城镇化率（%）</w:t>
            </w:r>
          </w:p>
        </w:tc>
        <w:tc>
          <w:tcPr>
            <w:tcW w:w="870" w:type="dxa"/>
            <w:shd w:val="clear" w:color="auto" w:fill="auto"/>
            <w:noWrap/>
            <w:vAlign w:val="center"/>
          </w:tcPr>
          <w:p w14:paraId="3E98D8A9">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8" w:type="dxa"/>
            <w:shd w:val="clear" w:color="auto" w:fill="auto"/>
            <w:noWrap/>
            <w:vAlign w:val="center"/>
          </w:tcPr>
          <w:p w14:paraId="3E8C067E">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控制在柳州市下达范围内</w:t>
            </w:r>
          </w:p>
        </w:tc>
        <w:tc>
          <w:tcPr>
            <w:tcW w:w="1020" w:type="dxa"/>
            <w:shd w:val="clear" w:color="auto" w:fill="auto"/>
            <w:noWrap/>
            <w:vAlign w:val="center"/>
          </w:tcPr>
          <w:p w14:paraId="6E91715A">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065" w:type="dxa"/>
            <w:shd w:val="clear" w:color="auto" w:fill="auto"/>
            <w:noWrap/>
            <w:vAlign w:val="center"/>
          </w:tcPr>
          <w:p w14:paraId="3EA21B30">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73" w:type="dxa"/>
            <w:noWrap/>
            <w:vAlign w:val="center"/>
          </w:tcPr>
          <w:p w14:paraId="098533D4">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预期性</w:t>
            </w:r>
          </w:p>
        </w:tc>
      </w:tr>
      <w:tr w14:paraId="23B1F1D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Merge w:val="continue"/>
          </w:tcPr>
          <w:p w14:paraId="4D7FB43B">
            <w:pPr>
              <w:spacing w:line="360" w:lineRule="auto"/>
              <w:ind w:firstLine="480" w:firstLineChars="200"/>
              <w:rPr>
                <w:rFonts w:hint="eastAsia" w:ascii="宋体" w:hAnsi="宋体" w:eastAsia="宋体" w:cs="宋体"/>
                <w:color w:val="000000"/>
                <w:kern w:val="0"/>
                <w:sz w:val="24"/>
                <w:szCs w:val="24"/>
              </w:rPr>
            </w:pPr>
          </w:p>
        </w:tc>
        <w:tc>
          <w:tcPr>
            <w:tcW w:w="2560" w:type="dxa"/>
            <w:noWrap/>
            <w:vAlign w:val="center"/>
          </w:tcPr>
          <w:p w14:paraId="0DFAE0EE">
            <w:pPr>
              <w:spacing w:line="360" w:lineRule="auto"/>
              <w:ind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城镇居民人均可支配收入（元）</w:t>
            </w:r>
          </w:p>
        </w:tc>
        <w:tc>
          <w:tcPr>
            <w:tcW w:w="870" w:type="dxa"/>
            <w:shd w:val="clear" w:color="auto" w:fill="auto"/>
            <w:noWrap/>
            <w:vAlign w:val="center"/>
          </w:tcPr>
          <w:p w14:paraId="5DC3CEDD">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8" w:type="dxa"/>
            <w:shd w:val="clear" w:color="auto" w:fill="auto"/>
            <w:noWrap/>
            <w:vAlign w:val="center"/>
          </w:tcPr>
          <w:p w14:paraId="300B8DB6">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1020" w:type="dxa"/>
            <w:shd w:val="clear" w:color="auto" w:fill="auto"/>
            <w:noWrap/>
            <w:vAlign w:val="center"/>
          </w:tcPr>
          <w:p w14:paraId="6E01AF5B">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43651</w:t>
            </w:r>
          </w:p>
        </w:tc>
        <w:tc>
          <w:tcPr>
            <w:tcW w:w="1065" w:type="dxa"/>
            <w:shd w:val="clear" w:color="auto" w:fill="auto"/>
            <w:noWrap/>
            <w:vAlign w:val="center"/>
          </w:tcPr>
          <w:p w14:paraId="4E4D775F">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7.4</w:t>
            </w:r>
          </w:p>
        </w:tc>
        <w:tc>
          <w:tcPr>
            <w:tcW w:w="1173" w:type="dxa"/>
            <w:noWrap/>
            <w:vAlign w:val="center"/>
          </w:tcPr>
          <w:p w14:paraId="0CF7DB5E">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预期性</w:t>
            </w:r>
          </w:p>
        </w:tc>
      </w:tr>
      <w:tr w14:paraId="32E1D9E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Merge w:val="continue"/>
          </w:tcPr>
          <w:p w14:paraId="4B00D2C8">
            <w:pPr>
              <w:spacing w:line="360" w:lineRule="auto"/>
              <w:ind w:firstLine="480" w:firstLineChars="200"/>
              <w:rPr>
                <w:rFonts w:hint="eastAsia" w:ascii="宋体" w:hAnsi="宋体" w:eastAsia="宋体" w:cs="宋体"/>
                <w:color w:val="000000"/>
                <w:kern w:val="0"/>
                <w:sz w:val="24"/>
                <w:szCs w:val="24"/>
              </w:rPr>
            </w:pPr>
          </w:p>
        </w:tc>
        <w:tc>
          <w:tcPr>
            <w:tcW w:w="2560" w:type="dxa"/>
            <w:noWrap/>
            <w:vAlign w:val="center"/>
          </w:tcPr>
          <w:p w14:paraId="1B8DE615">
            <w:pPr>
              <w:spacing w:line="360" w:lineRule="auto"/>
              <w:ind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农民人均纯收入（元）</w:t>
            </w:r>
          </w:p>
        </w:tc>
        <w:tc>
          <w:tcPr>
            <w:tcW w:w="870" w:type="dxa"/>
            <w:shd w:val="clear" w:color="auto" w:fill="FFFFFF"/>
            <w:noWrap/>
            <w:vAlign w:val="center"/>
          </w:tcPr>
          <w:p w14:paraId="67D33FBC">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8" w:type="dxa"/>
            <w:shd w:val="clear" w:color="auto" w:fill="FFFFFF"/>
            <w:noWrap/>
            <w:vAlign w:val="center"/>
          </w:tcPr>
          <w:p w14:paraId="09A061ED">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1020" w:type="dxa"/>
            <w:shd w:val="clear" w:color="auto" w:fill="FFFFFF"/>
            <w:noWrap/>
            <w:vAlign w:val="center"/>
          </w:tcPr>
          <w:p w14:paraId="05918C9C">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27616</w:t>
            </w:r>
          </w:p>
        </w:tc>
        <w:tc>
          <w:tcPr>
            <w:tcW w:w="1065" w:type="dxa"/>
            <w:shd w:val="clear" w:color="auto" w:fill="FFFFFF"/>
            <w:noWrap/>
            <w:vAlign w:val="center"/>
          </w:tcPr>
          <w:p w14:paraId="68ACF4F4">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9.1</w:t>
            </w:r>
          </w:p>
        </w:tc>
        <w:tc>
          <w:tcPr>
            <w:tcW w:w="1173" w:type="dxa"/>
            <w:noWrap/>
            <w:vAlign w:val="center"/>
          </w:tcPr>
          <w:p w14:paraId="736CEB76">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预期性</w:t>
            </w:r>
          </w:p>
        </w:tc>
      </w:tr>
      <w:tr w14:paraId="0E559B6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Merge w:val="continue"/>
          </w:tcPr>
          <w:p w14:paraId="40ADE65C">
            <w:pPr>
              <w:spacing w:line="360" w:lineRule="auto"/>
              <w:ind w:firstLine="480" w:firstLineChars="200"/>
              <w:rPr>
                <w:rFonts w:hint="eastAsia" w:ascii="宋体" w:hAnsi="宋体" w:eastAsia="宋体" w:cs="宋体"/>
                <w:color w:val="000000"/>
                <w:kern w:val="0"/>
                <w:sz w:val="24"/>
                <w:szCs w:val="24"/>
              </w:rPr>
            </w:pPr>
          </w:p>
        </w:tc>
        <w:tc>
          <w:tcPr>
            <w:tcW w:w="2560" w:type="dxa"/>
            <w:noWrap/>
            <w:vAlign w:val="center"/>
          </w:tcPr>
          <w:p w14:paraId="5DCF161F">
            <w:pPr>
              <w:spacing w:line="360" w:lineRule="auto"/>
              <w:ind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城镇调查失业率（%）</w:t>
            </w:r>
          </w:p>
        </w:tc>
        <w:tc>
          <w:tcPr>
            <w:tcW w:w="870" w:type="dxa"/>
            <w:noWrap/>
            <w:vAlign w:val="center"/>
          </w:tcPr>
          <w:p w14:paraId="7BD60CF3">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8" w:type="dxa"/>
            <w:noWrap/>
            <w:vAlign w:val="center"/>
          </w:tcPr>
          <w:p w14:paraId="766E6215">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控制在柳州市下达范围内</w:t>
            </w:r>
          </w:p>
        </w:tc>
        <w:tc>
          <w:tcPr>
            <w:tcW w:w="1020" w:type="dxa"/>
            <w:noWrap/>
            <w:vAlign w:val="center"/>
          </w:tcPr>
          <w:p w14:paraId="3A3E44A7">
            <w:pPr>
              <w:spacing w:line="360" w:lineRule="auto"/>
              <w:ind w:firstLine="0" w:firstLineChars="0"/>
              <w:jc w:val="center"/>
              <w:rPr>
                <w:rFonts w:hint="eastAsia" w:ascii="宋体" w:hAnsi="宋体" w:eastAsia="宋体" w:cs="宋体"/>
                <w:color w:val="000000"/>
                <w:kern w:val="0"/>
                <w:sz w:val="24"/>
                <w:szCs w:val="24"/>
              </w:rPr>
            </w:pPr>
          </w:p>
        </w:tc>
        <w:tc>
          <w:tcPr>
            <w:tcW w:w="1065" w:type="dxa"/>
            <w:noWrap/>
            <w:vAlign w:val="center"/>
          </w:tcPr>
          <w:p w14:paraId="485ACC3D">
            <w:pPr>
              <w:spacing w:line="360" w:lineRule="auto"/>
              <w:ind w:firstLine="0" w:firstLineChars="0"/>
              <w:jc w:val="center"/>
              <w:rPr>
                <w:rFonts w:hint="eastAsia" w:ascii="宋体" w:hAnsi="宋体" w:eastAsia="宋体" w:cs="宋体"/>
                <w:color w:val="000000"/>
                <w:kern w:val="0"/>
                <w:sz w:val="24"/>
                <w:szCs w:val="24"/>
              </w:rPr>
            </w:pPr>
          </w:p>
        </w:tc>
        <w:tc>
          <w:tcPr>
            <w:tcW w:w="1173" w:type="dxa"/>
            <w:noWrap/>
            <w:vAlign w:val="center"/>
          </w:tcPr>
          <w:p w14:paraId="6C3F7E7F">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约束性</w:t>
            </w:r>
          </w:p>
        </w:tc>
      </w:tr>
      <w:tr w14:paraId="6E86E7B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Merge w:val="continue"/>
          </w:tcPr>
          <w:p w14:paraId="2E6F4F20">
            <w:pPr>
              <w:spacing w:line="360" w:lineRule="auto"/>
              <w:ind w:firstLine="480" w:firstLineChars="200"/>
              <w:rPr>
                <w:rFonts w:hint="eastAsia" w:ascii="宋体" w:hAnsi="宋体" w:eastAsia="宋体" w:cs="宋体"/>
                <w:color w:val="000000"/>
                <w:kern w:val="0"/>
                <w:sz w:val="24"/>
                <w:szCs w:val="24"/>
              </w:rPr>
            </w:pPr>
          </w:p>
        </w:tc>
        <w:tc>
          <w:tcPr>
            <w:tcW w:w="2560" w:type="dxa"/>
            <w:noWrap/>
            <w:vAlign w:val="center"/>
          </w:tcPr>
          <w:p w14:paraId="1B89D173">
            <w:pPr>
              <w:spacing w:line="360" w:lineRule="auto"/>
              <w:ind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人均预期寿命（岁）</w:t>
            </w:r>
          </w:p>
        </w:tc>
        <w:tc>
          <w:tcPr>
            <w:tcW w:w="870" w:type="dxa"/>
            <w:noWrap/>
            <w:vAlign w:val="center"/>
          </w:tcPr>
          <w:p w14:paraId="4A7E5AAE">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77</w:t>
            </w:r>
          </w:p>
        </w:tc>
        <w:tc>
          <w:tcPr>
            <w:tcW w:w="1158" w:type="dxa"/>
            <w:noWrap/>
            <w:vAlign w:val="center"/>
          </w:tcPr>
          <w:p w14:paraId="4A9A3369">
            <w:pPr>
              <w:spacing w:line="360" w:lineRule="auto"/>
              <w:ind w:firstLine="0" w:firstLineChars="0"/>
              <w:jc w:val="center"/>
              <w:rPr>
                <w:rFonts w:hint="eastAsia" w:ascii="宋体" w:hAnsi="宋体" w:eastAsia="宋体" w:cs="宋体"/>
                <w:color w:val="000000"/>
                <w:kern w:val="0"/>
                <w:sz w:val="24"/>
                <w:szCs w:val="24"/>
              </w:rPr>
            </w:pPr>
          </w:p>
        </w:tc>
        <w:tc>
          <w:tcPr>
            <w:tcW w:w="1020" w:type="dxa"/>
            <w:noWrap/>
            <w:vAlign w:val="center"/>
          </w:tcPr>
          <w:p w14:paraId="37B14A63">
            <w:pPr>
              <w:spacing w:line="360" w:lineRule="auto"/>
              <w:ind w:firstLine="0" w:firstLineChars="0"/>
              <w:jc w:val="center"/>
              <w:rPr>
                <w:rFonts w:hint="eastAsia" w:ascii="宋体" w:hAnsi="宋体" w:eastAsia="宋体" w:cs="宋体"/>
                <w:color w:val="000000"/>
                <w:kern w:val="0"/>
                <w:sz w:val="24"/>
                <w:szCs w:val="24"/>
              </w:rPr>
            </w:pPr>
          </w:p>
        </w:tc>
        <w:tc>
          <w:tcPr>
            <w:tcW w:w="1065" w:type="dxa"/>
            <w:noWrap/>
            <w:vAlign w:val="center"/>
          </w:tcPr>
          <w:p w14:paraId="45BD31DB">
            <w:pPr>
              <w:spacing w:line="360" w:lineRule="auto"/>
              <w:ind w:firstLine="0" w:firstLineChars="0"/>
              <w:jc w:val="center"/>
              <w:rPr>
                <w:rFonts w:hint="eastAsia" w:ascii="宋体" w:hAnsi="宋体" w:eastAsia="宋体" w:cs="宋体"/>
                <w:color w:val="000000"/>
                <w:kern w:val="0"/>
                <w:sz w:val="24"/>
                <w:szCs w:val="24"/>
              </w:rPr>
            </w:pPr>
          </w:p>
        </w:tc>
        <w:tc>
          <w:tcPr>
            <w:tcW w:w="1173" w:type="dxa"/>
            <w:noWrap/>
            <w:vAlign w:val="center"/>
          </w:tcPr>
          <w:p w14:paraId="54F7659C">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预期性</w:t>
            </w:r>
          </w:p>
        </w:tc>
      </w:tr>
      <w:tr w14:paraId="09C5700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Merge w:val="continue"/>
          </w:tcPr>
          <w:p w14:paraId="689BED78">
            <w:pPr>
              <w:spacing w:line="360" w:lineRule="auto"/>
              <w:ind w:firstLine="480" w:firstLineChars="200"/>
              <w:rPr>
                <w:rFonts w:hint="eastAsia" w:ascii="宋体" w:hAnsi="宋体" w:eastAsia="宋体" w:cs="宋体"/>
                <w:color w:val="000000"/>
                <w:kern w:val="0"/>
                <w:sz w:val="24"/>
                <w:szCs w:val="24"/>
              </w:rPr>
            </w:pPr>
          </w:p>
        </w:tc>
        <w:tc>
          <w:tcPr>
            <w:tcW w:w="2560" w:type="dxa"/>
            <w:noWrap/>
            <w:vAlign w:val="center"/>
          </w:tcPr>
          <w:p w14:paraId="270D2E8F">
            <w:pPr>
              <w:spacing w:line="360" w:lineRule="auto"/>
              <w:ind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互联网普及率</w:t>
            </w:r>
          </w:p>
        </w:tc>
        <w:tc>
          <w:tcPr>
            <w:tcW w:w="870" w:type="dxa"/>
            <w:noWrap/>
            <w:vAlign w:val="center"/>
          </w:tcPr>
          <w:p w14:paraId="1FF88984">
            <w:pPr>
              <w:spacing w:line="360" w:lineRule="auto"/>
              <w:ind w:firstLine="0" w:firstLineChars="0"/>
              <w:jc w:val="center"/>
              <w:rPr>
                <w:rFonts w:hint="eastAsia" w:ascii="宋体" w:hAnsi="宋体" w:eastAsia="宋体" w:cs="宋体"/>
                <w:color w:val="000000"/>
                <w:kern w:val="0"/>
                <w:sz w:val="24"/>
                <w:szCs w:val="24"/>
              </w:rPr>
            </w:pPr>
          </w:p>
        </w:tc>
        <w:tc>
          <w:tcPr>
            <w:tcW w:w="1158" w:type="dxa"/>
            <w:noWrap/>
            <w:vAlign w:val="center"/>
          </w:tcPr>
          <w:p w14:paraId="31FC54F4">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&gt;50</w:t>
            </w:r>
          </w:p>
        </w:tc>
        <w:tc>
          <w:tcPr>
            <w:tcW w:w="1020" w:type="dxa"/>
            <w:noWrap/>
            <w:vAlign w:val="center"/>
          </w:tcPr>
          <w:p w14:paraId="25F754F7">
            <w:pPr>
              <w:spacing w:line="360" w:lineRule="auto"/>
              <w:ind w:firstLine="0" w:firstLineChars="0"/>
              <w:jc w:val="center"/>
              <w:rPr>
                <w:rFonts w:hint="eastAsia" w:ascii="宋体" w:hAnsi="宋体" w:eastAsia="宋体" w:cs="宋体"/>
                <w:color w:val="000000"/>
                <w:kern w:val="0"/>
                <w:sz w:val="24"/>
                <w:szCs w:val="24"/>
              </w:rPr>
            </w:pPr>
          </w:p>
        </w:tc>
        <w:tc>
          <w:tcPr>
            <w:tcW w:w="1065" w:type="dxa"/>
            <w:noWrap/>
            <w:vAlign w:val="center"/>
          </w:tcPr>
          <w:p w14:paraId="2B5090B7">
            <w:pPr>
              <w:spacing w:line="360" w:lineRule="auto"/>
              <w:ind w:firstLine="0" w:firstLineChars="0"/>
              <w:jc w:val="center"/>
              <w:rPr>
                <w:rFonts w:hint="eastAsia" w:ascii="宋体" w:hAnsi="宋体" w:eastAsia="宋体" w:cs="宋体"/>
                <w:color w:val="000000"/>
                <w:kern w:val="0"/>
                <w:sz w:val="24"/>
                <w:szCs w:val="24"/>
              </w:rPr>
            </w:pPr>
          </w:p>
        </w:tc>
        <w:tc>
          <w:tcPr>
            <w:tcW w:w="1173" w:type="dxa"/>
            <w:noWrap/>
            <w:vAlign w:val="center"/>
          </w:tcPr>
          <w:p w14:paraId="70D50D4C">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预期性</w:t>
            </w:r>
          </w:p>
        </w:tc>
      </w:tr>
      <w:tr w14:paraId="2DBC79F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Merge w:val="restart"/>
            <w:noWrap/>
            <w:textDirection w:val="tbRlV"/>
          </w:tcPr>
          <w:p w14:paraId="06E159DD">
            <w:pPr>
              <w:spacing w:line="360" w:lineRule="auto"/>
              <w:ind w:left="113" w:right="113"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生态文明</w:t>
            </w:r>
          </w:p>
        </w:tc>
        <w:tc>
          <w:tcPr>
            <w:tcW w:w="2560" w:type="dxa"/>
            <w:noWrap/>
            <w:vAlign w:val="center"/>
          </w:tcPr>
          <w:p w14:paraId="58DC2EB1">
            <w:pPr>
              <w:spacing w:line="360" w:lineRule="auto"/>
              <w:ind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非化石能源一次性能源消费比重（%）</w:t>
            </w:r>
          </w:p>
        </w:tc>
        <w:tc>
          <w:tcPr>
            <w:tcW w:w="870" w:type="dxa"/>
            <w:noWrap/>
            <w:vAlign w:val="center"/>
          </w:tcPr>
          <w:p w14:paraId="432EC66D">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1158" w:type="dxa"/>
            <w:vMerge w:val="restart"/>
            <w:noWrap/>
            <w:vAlign w:val="center"/>
          </w:tcPr>
          <w:p w14:paraId="34F21637">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控制在柳州市下达范围内</w:t>
            </w:r>
          </w:p>
        </w:tc>
        <w:tc>
          <w:tcPr>
            <w:tcW w:w="1020" w:type="dxa"/>
            <w:noWrap/>
            <w:vAlign w:val="center"/>
          </w:tcPr>
          <w:p w14:paraId="2CDF5182">
            <w:pPr>
              <w:spacing w:line="360" w:lineRule="auto"/>
              <w:ind w:firstLine="0" w:firstLineChars="0"/>
              <w:jc w:val="center"/>
              <w:rPr>
                <w:rFonts w:hint="eastAsia" w:ascii="宋体" w:hAnsi="宋体" w:eastAsia="宋体" w:cs="宋体"/>
                <w:color w:val="000000"/>
                <w:kern w:val="0"/>
                <w:sz w:val="24"/>
                <w:szCs w:val="24"/>
              </w:rPr>
            </w:pPr>
          </w:p>
        </w:tc>
        <w:tc>
          <w:tcPr>
            <w:tcW w:w="1065" w:type="dxa"/>
            <w:noWrap/>
            <w:vAlign w:val="center"/>
          </w:tcPr>
          <w:p w14:paraId="4DD0EF18">
            <w:pPr>
              <w:spacing w:line="360" w:lineRule="auto"/>
              <w:ind w:firstLine="0" w:firstLineChars="0"/>
              <w:jc w:val="center"/>
              <w:rPr>
                <w:rFonts w:hint="eastAsia" w:ascii="宋体" w:hAnsi="宋体" w:eastAsia="宋体" w:cs="宋体"/>
                <w:color w:val="000000"/>
                <w:kern w:val="0"/>
                <w:sz w:val="24"/>
                <w:szCs w:val="24"/>
              </w:rPr>
            </w:pPr>
          </w:p>
        </w:tc>
        <w:tc>
          <w:tcPr>
            <w:tcW w:w="1173" w:type="dxa"/>
            <w:noWrap/>
            <w:vAlign w:val="center"/>
          </w:tcPr>
          <w:p w14:paraId="614F4352">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约束性</w:t>
            </w:r>
          </w:p>
        </w:tc>
      </w:tr>
      <w:tr w14:paraId="51F525B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Merge w:val="continue"/>
          </w:tcPr>
          <w:p w14:paraId="03B5F140">
            <w:pPr>
              <w:spacing w:line="360" w:lineRule="auto"/>
              <w:ind w:firstLine="480" w:firstLineChars="200"/>
              <w:rPr>
                <w:rFonts w:hint="eastAsia" w:ascii="宋体" w:hAnsi="宋体" w:eastAsia="宋体" w:cs="宋体"/>
                <w:color w:val="000000"/>
                <w:kern w:val="0"/>
                <w:sz w:val="24"/>
                <w:szCs w:val="24"/>
              </w:rPr>
            </w:pPr>
          </w:p>
        </w:tc>
        <w:tc>
          <w:tcPr>
            <w:tcW w:w="2560" w:type="dxa"/>
            <w:noWrap/>
            <w:vAlign w:val="center"/>
          </w:tcPr>
          <w:p w14:paraId="0C7B06F6">
            <w:pPr>
              <w:spacing w:line="360" w:lineRule="auto"/>
              <w:ind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工业增加值用水量降低（吨/万元）</w:t>
            </w:r>
          </w:p>
        </w:tc>
        <w:tc>
          <w:tcPr>
            <w:tcW w:w="870" w:type="dxa"/>
            <w:noWrap/>
            <w:vAlign w:val="center"/>
          </w:tcPr>
          <w:p w14:paraId="7CD13B6C">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60</w:t>
            </w:r>
          </w:p>
        </w:tc>
        <w:tc>
          <w:tcPr>
            <w:tcW w:w="1158" w:type="dxa"/>
            <w:vMerge w:val="continue"/>
            <w:vAlign w:val="center"/>
          </w:tcPr>
          <w:p w14:paraId="74E4DEBB">
            <w:pPr>
              <w:spacing w:line="360" w:lineRule="auto"/>
              <w:ind w:firstLine="480" w:firstLineChars="200"/>
              <w:jc w:val="center"/>
              <w:rPr>
                <w:rFonts w:hint="eastAsia" w:ascii="宋体" w:hAnsi="宋体" w:eastAsia="宋体" w:cs="宋体"/>
                <w:color w:val="000000"/>
                <w:kern w:val="0"/>
                <w:sz w:val="24"/>
                <w:szCs w:val="24"/>
              </w:rPr>
            </w:pPr>
          </w:p>
        </w:tc>
        <w:tc>
          <w:tcPr>
            <w:tcW w:w="1020" w:type="dxa"/>
            <w:noWrap/>
            <w:vAlign w:val="center"/>
          </w:tcPr>
          <w:p w14:paraId="33698FAC">
            <w:pPr>
              <w:spacing w:line="360" w:lineRule="auto"/>
              <w:ind w:firstLine="0" w:firstLineChars="0"/>
              <w:jc w:val="center"/>
              <w:rPr>
                <w:rFonts w:hint="eastAsia" w:ascii="宋体" w:hAnsi="宋体" w:eastAsia="宋体" w:cs="宋体"/>
                <w:color w:val="000000"/>
                <w:kern w:val="0"/>
                <w:sz w:val="24"/>
                <w:szCs w:val="24"/>
              </w:rPr>
            </w:pPr>
          </w:p>
        </w:tc>
        <w:tc>
          <w:tcPr>
            <w:tcW w:w="1065" w:type="dxa"/>
            <w:noWrap/>
            <w:vAlign w:val="center"/>
          </w:tcPr>
          <w:p w14:paraId="50D4ABDC">
            <w:pPr>
              <w:spacing w:line="360" w:lineRule="auto"/>
              <w:ind w:firstLine="0" w:firstLineChars="0"/>
              <w:jc w:val="center"/>
              <w:rPr>
                <w:rFonts w:hint="eastAsia" w:ascii="宋体" w:hAnsi="宋体" w:eastAsia="宋体" w:cs="宋体"/>
                <w:color w:val="000000"/>
                <w:kern w:val="0"/>
                <w:sz w:val="24"/>
                <w:szCs w:val="24"/>
              </w:rPr>
            </w:pPr>
          </w:p>
        </w:tc>
        <w:tc>
          <w:tcPr>
            <w:tcW w:w="1173" w:type="dxa"/>
            <w:noWrap/>
            <w:vAlign w:val="center"/>
          </w:tcPr>
          <w:p w14:paraId="6682419D">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约束性</w:t>
            </w:r>
          </w:p>
        </w:tc>
      </w:tr>
      <w:tr w14:paraId="7458FF7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Merge w:val="continue"/>
          </w:tcPr>
          <w:p w14:paraId="38825B64">
            <w:pPr>
              <w:spacing w:line="360" w:lineRule="auto"/>
              <w:ind w:firstLine="480" w:firstLineChars="200"/>
              <w:rPr>
                <w:rFonts w:hint="eastAsia" w:ascii="宋体" w:hAnsi="宋体" w:eastAsia="宋体" w:cs="宋体"/>
                <w:color w:val="000000"/>
                <w:kern w:val="0"/>
                <w:sz w:val="24"/>
                <w:szCs w:val="24"/>
              </w:rPr>
            </w:pPr>
          </w:p>
        </w:tc>
        <w:tc>
          <w:tcPr>
            <w:tcW w:w="2560" w:type="dxa"/>
            <w:noWrap/>
            <w:vAlign w:val="center"/>
          </w:tcPr>
          <w:p w14:paraId="3E63DC04">
            <w:pPr>
              <w:spacing w:line="360" w:lineRule="auto"/>
              <w:ind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主要污染物排放降低（%）</w:t>
            </w:r>
          </w:p>
        </w:tc>
        <w:tc>
          <w:tcPr>
            <w:tcW w:w="870" w:type="dxa"/>
            <w:noWrap/>
            <w:vAlign w:val="center"/>
          </w:tcPr>
          <w:p w14:paraId="29300A31">
            <w:pPr>
              <w:spacing w:line="360" w:lineRule="auto"/>
              <w:ind w:firstLine="0" w:firstLineChars="0"/>
              <w:jc w:val="center"/>
              <w:rPr>
                <w:rFonts w:hint="eastAsia" w:ascii="宋体" w:hAnsi="宋体" w:eastAsia="宋体" w:cs="宋体"/>
                <w:color w:val="000000"/>
                <w:kern w:val="0"/>
                <w:sz w:val="24"/>
                <w:szCs w:val="24"/>
              </w:rPr>
            </w:pPr>
          </w:p>
        </w:tc>
        <w:tc>
          <w:tcPr>
            <w:tcW w:w="1158" w:type="dxa"/>
            <w:vMerge w:val="continue"/>
            <w:vAlign w:val="center"/>
          </w:tcPr>
          <w:p w14:paraId="60CC39FA">
            <w:pPr>
              <w:spacing w:line="360" w:lineRule="auto"/>
              <w:ind w:firstLine="480" w:firstLineChars="200"/>
              <w:jc w:val="center"/>
              <w:rPr>
                <w:rFonts w:hint="eastAsia" w:ascii="宋体" w:hAnsi="宋体" w:eastAsia="宋体" w:cs="宋体"/>
                <w:color w:val="000000"/>
                <w:kern w:val="0"/>
                <w:sz w:val="24"/>
                <w:szCs w:val="24"/>
              </w:rPr>
            </w:pPr>
          </w:p>
        </w:tc>
        <w:tc>
          <w:tcPr>
            <w:tcW w:w="1020" w:type="dxa"/>
            <w:noWrap/>
            <w:vAlign w:val="center"/>
          </w:tcPr>
          <w:p w14:paraId="11878F73">
            <w:pPr>
              <w:spacing w:line="360" w:lineRule="auto"/>
              <w:ind w:firstLine="0" w:firstLineChars="0"/>
              <w:jc w:val="center"/>
              <w:rPr>
                <w:rFonts w:hint="eastAsia" w:ascii="宋体" w:hAnsi="宋体" w:eastAsia="宋体" w:cs="宋体"/>
                <w:color w:val="000000"/>
                <w:kern w:val="0"/>
                <w:sz w:val="24"/>
                <w:szCs w:val="24"/>
              </w:rPr>
            </w:pPr>
          </w:p>
        </w:tc>
        <w:tc>
          <w:tcPr>
            <w:tcW w:w="1065" w:type="dxa"/>
            <w:noWrap/>
            <w:vAlign w:val="center"/>
          </w:tcPr>
          <w:p w14:paraId="36D9C52B">
            <w:pPr>
              <w:spacing w:line="360" w:lineRule="auto"/>
              <w:ind w:firstLine="0" w:firstLineChars="0"/>
              <w:jc w:val="center"/>
              <w:rPr>
                <w:rFonts w:hint="eastAsia" w:ascii="宋体" w:hAnsi="宋体" w:eastAsia="宋体" w:cs="宋体"/>
                <w:color w:val="000000"/>
                <w:kern w:val="0"/>
                <w:sz w:val="24"/>
                <w:szCs w:val="24"/>
              </w:rPr>
            </w:pPr>
          </w:p>
        </w:tc>
        <w:tc>
          <w:tcPr>
            <w:tcW w:w="1173" w:type="dxa"/>
            <w:vMerge w:val="restart"/>
            <w:noWrap/>
            <w:vAlign w:val="center"/>
          </w:tcPr>
          <w:p w14:paraId="39DF5C78">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约束性</w:t>
            </w:r>
          </w:p>
        </w:tc>
      </w:tr>
      <w:tr w14:paraId="580E934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Merge w:val="continue"/>
          </w:tcPr>
          <w:p w14:paraId="0BDC98D2">
            <w:pPr>
              <w:spacing w:line="360" w:lineRule="auto"/>
              <w:ind w:firstLine="480" w:firstLineChars="200"/>
              <w:rPr>
                <w:rFonts w:hint="eastAsia" w:ascii="宋体" w:hAnsi="宋体" w:eastAsia="宋体" w:cs="宋体"/>
                <w:color w:val="000000"/>
                <w:kern w:val="0"/>
                <w:sz w:val="24"/>
                <w:szCs w:val="24"/>
              </w:rPr>
            </w:pPr>
          </w:p>
        </w:tc>
        <w:tc>
          <w:tcPr>
            <w:tcW w:w="2560" w:type="dxa"/>
            <w:noWrap/>
            <w:vAlign w:val="center"/>
          </w:tcPr>
          <w:p w14:paraId="08269F55">
            <w:pPr>
              <w:spacing w:line="360" w:lineRule="auto"/>
              <w:ind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其中：化学需氧量（%）</w:t>
            </w:r>
          </w:p>
        </w:tc>
        <w:tc>
          <w:tcPr>
            <w:tcW w:w="870" w:type="dxa"/>
            <w:noWrap/>
            <w:vAlign w:val="center"/>
          </w:tcPr>
          <w:p w14:paraId="550BE41B">
            <w:pPr>
              <w:spacing w:line="360" w:lineRule="auto"/>
              <w:ind w:firstLine="0" w:firstLineChars="0"/>
              <w:jc w:val="center"/>
              <w:rPr>
                <w:rFonts w:hint="eastAsia" w:ascii="宋体" w:hAnsi="宋体" w:eastAsia="宋体" w:cs="宋体"/>
                <w:color w:val="000000"/>
                <w:kern w:val="0"/>
                <w:sz w:val="24"/>
                <w:szCs w:val="24"/>
              </w:rPr>
            </w:pPr>
          </w:p>
        </w:tc>
        <w:tc>
          <w:tcPr>
            <w:tcW w:w="1158" w:type="dxa"/>
            <w:vMerge w:val="continue"/>
            <w:vAlign w:val="center"/>
          </w:tcPr>
          <w:p w14:paraId="172AD24E">
            <w:pPr>
              <w:spacing w:line="360" w:lineRule="auto"/>
              <w:ind w:firstLine="480" w:firstLineChars="200"/>
              <w:jc w:val="center"/>
              <w:rPr>
                <w:rFonts w:hint="eastAsia" w:ascii="宋体" w:hAnsi="宋体" w:eastAsia="宋体" w:cs="宋体"/>
                <w:color w:val="000000"/>
                <w:kern w:val="0"/>
                <w:sz w:val="24"/>
                <w:szCs w:val="24"/>
              </w:rPr>
            </w:pPr>
          </w:p>
        </w:tc>
        <w:tc>
          <w:tcPr>
            <w:tcW w:w="1020" w:type="dxa"/>
            <w:noWrap/>
            <w:vAlign w:val="center"/>
          </w:tcPr>
          <w:p w14:paraId="0FA64472">
            <w:pPr>
              <w:spacing w:line="360" w:lineRule="auto"/>
              <w:ind w:firstLine="0" w:firstLineChars="0"/>
              <w:jc w:val="center"/>
              <w:rPr>
                <w:rFonts w:hint="eastAsia" w:ascii="宋体" w:hAnsi="宋体" w:eastAsia="宋体" w:cs="宋体"/>
                <w:color w:val="000000"/>
                <w:kern w:val="0"/>
                <w:sz w:val="24"/>
                <w:szCs w:val="24"/>
              </w:rPr>
            </w:pPr>
          </w:p>
        </w:tc>
        <w:tc>
          <w:tcPr>
            <w:tcW w:w="1065" w:type="dxa"/>
            <w:noWrap/>
            <w:vAlign w:val="center"/>
          </w:tcPr>
          <w:p w14:paraId="13A37F1F">
            <w:pPr>
              <w:spacing w:line="360" w:lineRule="auto"/>
              <w:ind w:firstLine="0" w:firstLineChars="0"/>
              <w:jc w:val="center"/>
              <w:rPr>
                <w:rFonts w:hint="eastAsia" w:ascii="宋体" w:hAnsi="宋体" w:eastAsia="宋体" w:cs="宋体"/>
                <w:color w:val="000000"/>
                <w:kern w:val="0"/>
                <w:sz w:val="24"/>
                <w:szCs w:val="24"/>
              </w:rPr>
            </w:pPr>
          </w:p>
        </w:tc>
        <w:tc>
          <w:tcPr>
            <w:tcW w:w="1173" w:type="dxa"/>
            <w:vMerge w:val="continue"/>
            <w:vAlign w:val="center"/>
          </w:tcPr>
          <w:p w14:paraId="0ECE190B">
            <w:pPr>
              <w:spacing w:line="360" w:lineRule="auto"/>
              <w:ind w:firstLine="480" w:firstLineChars="200"/>
              <w:jc w:val="center"/>
              <w:rPr>
                <w:rFonts w:hint="eastAsia" w:ascii="宋体" w:hAnsi="宋体" w:eastAsia="宋体" w:cs="宋体"/>
                <w:color w:val="000000"/>
                <w:kern w:val="0"/>
                <w:sz w:val="24"/>
                <w:szCs w:val="24"/>
              </w:rPr>
            </w:pPr>
          </w:p>
        </w:tc>
      </w:tr>
      <w:tr w14:paraId="54F962F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Merge w:val="continue"/>
          </w:tcPr>
          <w:p w14:paraId="548DEDD4">
            <w:pPr>
              <w:spacing w:line="360" w:lineRule="auto"/>
              <w:ind w:firstLine="480" w:firstLineChars="200"/>
              <w:rPr>
                <w:rFonts w:hint="eastAsia" w:ascii="宋体" w:hAnsi="宋体" w:eastAsia="宋体" w:cs="宋体"/>
                <w:color w:val="000000"/>
                <w:kern w:val="0"/>
                <w:sz w:val="24"/>
                <w:szCs w:val="24"/>
              </w:rPr>
            </w:pPr>
          </w:p>
        </w:tc>
        <w:tc>
          <w:tcPr>
            <w:tcW w:w="2560" w:type="dxa"/>
            <w:noWrap/>
            <w:vAlign w:val="center"/>
          </w:tcPr>
          <w:p w14:paraId="6660CCE7">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氨氮（%）</w:t>
            </w:r>
          </w:p>
        </w:tc>
        <w:tc>
          <w:tcPr>
            <w:tcW w:w="870" w:type="dxa"/>
            <w:noWrap/>
            <w:vAlign w:val="center"/>
          </w:tcPr>
          <w:p w14:paraId="24C71377">
            <w:pPr>
              <w:spacing w:line="360" w:lineRule="auto"/>
              <w:ind w:firstLine="0" w:firstLineChars="0"/>
              <w:jc w:val="center"/>
              <w:rPr>
                <w:rFonts w:hint="eastAsia" w:ascii="宋体" w:hAnsi="宋体" w:eastAsia="宋体" w:cs="宋体"/>
                <w:color w:val="000000"/>
                <w:kern w:val="0"/>
                <w:sz w:val="24"/>
                <w:szCs w:val="24"/>
              </w:rPr>
            </w:pPr>
          </w:p>
        </w:tc>
        <w:tc>
          <w:tcPr>
            <w:tcW w:w="1158" w:type="dxa"/>
            <w:vMerge w:val="continue"/>
            <w:vAlign w:val="center"/>
          </w:tcPr>
          <w:p w14:paraId="7450FB6C">
            <w:pPr>
              <w:spacing w:line="360" w:lineRule="auto"/>
              <w:ind w:firstLine="480" w:firstLineChars="200"/>
              <w:jc w:val="center"/>
              <w:rPr>
                <w:rFonts w:hint="eastAsia" w:ascii="宋体" w:hAnsi="宋体" w:eastAsia="宋体" w:cs="宋体"/>
                <w:color w:val="000000"/>
                <w:kern w:val="0"/>
                <w:sz w:val="24"/>
                <w:szCs w:val="24"/>
              </w:rPr>
            </w:pPr>
          </w:p>
        </w:tc>
        <w:tc>
          <w:tcPr>
            <w:tcW w:w="1020" w:type="dxa"/>
            <w:noWrap/>
            <w:vAlign w:val="center"/>
          </w:tcPr>
          <w:p w14:paraId="01378DA1">
            <w:pPr>
              <w:spacing w:line="360" w:lineRule="auto"/>
              <w:ind w:firstLine="0" w:firstLineChars="0"/>
              <w:jc w:val="center"/>
              <w:rPr>
                <w:rFonts w:hint="eastAsia" w:ascii="宋体" w:hAnsi="宋体" w:eastAsia="宋体" w:cs="宋体"/>
                <w:color w:val="000000"/>
                <w:kern w:val="0"/>
                <w:sz w:val="24"/>
                <w:szCs w:val="24"/>
              </w:rPr>
            </w:pPr>
          </w:p>
        </w:tc>
        <w:tc>
          <w:tcPr>
            <w:tcW w:w="1065" w:type="dxa"/>
            <w:noWrap/>
            <w:vAlign w:val="center"/>
          </w:tcPr>
          <w:p w14:paraId="16453B32">
            <w:pPr>
              <w:spacing w:line="360" w:lineRule="auto"/>
              <w:ind w:firstLine="0" w:firstLineChars="0"/>
              <w:jc w:val="center"/>
              <w:rPr>
                <w:rFonts w:hint="eastAsia" w:ascii="宋体" w:hAnsi="宋体" w:eastAsia="宋体" w:cs="宋体"/>
                <w:color w:val="000000"/>
                <w:kern w:val="0"/>
                <w:sz w:val="24"/>
                <w:szCs w:val="24"/>
              </w:rPr>
            </w:pPr>
          </w:p>
        </w:tc>
        <w:tc>
          <w:tcPr>
            <w:tcW w:w="1173" w:type="dxa"/>
            <w:vMerge w:val="continue"/>
            <w:vAlign w:val="center"/>
          </w:tcPr>
          <w:p w14:paraId="46BC7EDC">
            <w:pPr>
              <w:spacing w:line="360" w:lineRule="auto"/>
              <w:ind w:firstLine="480" w:firstLineChars="200"/>
              <w:jc w:val="center"/>
              <w:rPr>
                <w:rFonts w:hint="eastAsia" w:ascii="宋体" w:hAnsi="宋体" w:eastAsia="宋体" w:cs="宋体"/>
                <w:color w:val="000000"/>
                <w:kern w:val="0"/>
                <w:sz w:val="24"/>
                <w:szCs w:val="24"/>
              </w:rPr>
            </w:pPr>
          </w:p>
        </w:tc>
      </w:tr>
      <w:tr w14:paraId="2B318FB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Merge w:val="continue"/>
          </w:tcPr>
          <w:p w14:paraId="17E33EC2">
            <w:pPr>
              <w:spacing w:line="360" w:lineRule="auto"/>
              <w:ind w:firstLine="480" w:firstLineChars="200"/>
              <w:rPr>
                <w:rFonts w:hint="eastAsia" w:ascii="宋体" w:hAnsi="宋体" w:eastAsia="宋体" w:cs="宋体"/>
                <w:color w:val="000000"/>
                <w:kern w:val="0"/>
                <w:sz w:val="24"/>
                <w:szCs w:val="24"/>
              </w:rPr>
            </w:pPr>
          </w:p>
        </w:tc>
        <w:tc>
          <w:tcPr>
            <w:tcW w:w="2560" w:type="dxa"/>
            <w:noWrap/>
            <w:vAlign w:val="center"/>
          </w:tcPr>
          <w:p w14:paraId="72B7D663">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氨氧化物（%）</w:t>
            </w:r>
          </w:p>
        </w:tc>
        <w:tc>
          <w:tcPr>
            <w:tcW w:w="870" w:type="dxa"/>
            <w:noWrap/>
            <w:vAlign w:val="center"/>
          </w:tcPr>
          <w:p w14:paraId="0557152F">
            <w:pPr>
              <w:spacing w:line="360" w:lineRule="auto"/>
              <w:ind w:firstLine="0" w:firstLineChars="0"/>
              <w:jc w:val="center"/>
              <w:rPr>
                <w:rFonts w:hint="eastAsia" w:ascii="宋体" w:hAnsi="宋体" w:eastAsia="宋体" w:cs="宋体"/>
                <w:color w:val="000000"/>
                <w:kern w:val="0"/>
                <w:sz w:val="24"/>
                <w:szCs w:val="24"/>
              </w:rPr>
            </w:pPr>
          </w:p>
        </w:tc>
        <w:tc>
          <w:tcPr>
            <w:tcW w:w="1158" w:type="dxa"/>
            <w:vMerge w:val="continue"/>
            <w:vAlign w:val="center"/>
          </w:tcPr>
          <w:p w14:paraId="29F5269B">
            <w:pPr>
              <w:spacing w:line="360" w:lineRule="auto"/>
              <w:ind w:firstLine="480" w:firstLineChars="200"/>
              <w:jc w:val="center"/>
              <w:rPr>
                <w:rFonts w:hint="eastAsia" w:ascii="宋体" w:hAnsi="宋体" w:eastAsia="宋体" w:cs="宋体"/>
                <w:color w:val="000000"/>
                <w:kern w:val="0"/>
                <w:sz w:val="24"/>
                <w:szCs w:val="24"/>
              </w:rPr>
            </w:pPr>
          </w:p>
        </w:tc>
        <w:tc>
          <w:tcPr>
            <w:tcW w:w="1020" w:type="dxa"/>
            <w:noWrap/>
            <w:vAlign w:val="center"/>
          </w:tcPr>
          <w:p w14:paraId="1EE743E3">
            <w:pPr>
              <w:spacing w:line="360" w:lineRule="auto"/>
              <w:ind w:firstLine="0" w:firstLineChars="0"/>
              <w:jc w:val="center"/>
              <w:rPr>
                <w:rFonts w:hint="eastAsia" w:ascii="宋体" w:hAnsi="宋体" w:eastAsia="宋体" w:cs="宋体"/>
                <w:color w:val="000000"/>
                <w:kern w:val="0"/>
                <w:sz w:val="24"/>
                <w:szCs w:val="24"/>
              </w:rPr>
            </w:pPr>
          </w:p>
        </w:tc>
        <w:tc>
          <w:tcPr>
            <w:tcW w:w="1065" w:type="dxa"/>
            <w:noWrap/>
            <w:vAlign w:val="center"/>
          </w:tcPr>
          <w:p w14:paraId="359E1AAC">
            <w:pPr>
              <w:spacing w:line="360" w:lineRule="auto"/>
              <w:ind w:firstLine="0" w:firstLineChars="0"/>
              <w:jc w:val="center"/>
              <w:rPr>
                <w:rFonts w:hint="eastAsia" w:ascii="宋体" w:hAnsi="宋体" w:eastAsia="宋体" w:cs="宋体"/>
                <w:color w:val="000000"/>
                <w:kern w:val="0"/>
                <w:sz w:val="24"/>
                <w:szCs w:val="24"/>
              </w:rPr>
            </w:pPr>
          </w:p>
        </w:tc>
        <w:tc>
          <w:tcPr>
            <w:tcW w:w="1173" w:type="dxa"/>
            <w:vMerge w:val="continue"/>
            <w:vAlign w:val="center"/>
          </w:tcPr>
          <w:p w14:paraId="253ADE70">
            <w:pPr>
              <w:spacing w:line="360" w:lineRule="auto"/>
              <w:ind w:firstLine="480" w:firstLineChars="200"/>
              <w:jc w:val="center"/>
              <w:rPr>
                <w:rFonts w:hint="eastAsia" w:ascii="宋体" w:hAnsi="宋体" w:eastAsia="宋体" w:cs="宋体"/>
                <w:color w:val="000000"/>
                <w:kern w:val="0"/>
                <w:sz w:val="24"/>
                <w:szCs w:val="24"/>
              </w:rPr>
            </w:pPr>
          </w:p>
        </w:tc>
      </w:tr>
      <w:tr w14:paraId="1550E6A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Merge w:val="continue"/>
          </w:tcPr>
          <w:p w14:paraId="01A1A0E9">
            <w:pPr>
              <w:spacing w:line="360" w:lineRule="auto"/>
              <w:ind w:firstLine="480" w:firstLineChars="200"/>
              <w:rPr>
                <w:rFonts w:hint="eastAsia" w:ascii="宋体" w:hAnsi="宋体" w:eastAsia="宋体" w:cs="宋体"/>
                <w:color w:val="000000"/>
                <w:kern w:val="0"/>
                <w:sz w:val="24"/>
                <w:szCs w:val="24"/>
              </w:rPr>
            </w:pPr>
          </w:p>
        </w:tc>
        <w:tc>
          <w:tcPr>
            <w:tcW w:w="2560" w:type="dxa"/>
            <w:noWrap/>
            <w:vAlign w:val="center"/>
          </w:tcPr>
          <w:p w14:paraId="71CDA2D6">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设区城市空气质量达标率（%）</w:t>
            </w:r>
          </w:p>
        </w:tc>
        <w:tc>
          <w:tcPr>
            <w:tcW w:w="870" w:type="dxa"/>
            <w:noWrap/>
            <w:vAlign w:val="center"/>
          </w:tcPr>
          <w:p w14:paraId="4510EE3E">
            <w:pPr>
              <w:spacing w:line="360" w:lineRule="auto"/>
              <w:ind w:firstLine="0" w:firstLineChars="0"/>
              <w:jc w:val="center"/>
              <w:rPr>
                <w:rFonts w:hint="eastAsia" w:ascii="宋体" w:hAnsi="宋体" w:eastAsia="宋体" w:cs="宋体"/>
                <w:color w:val="000000"/>
                <w:kern w:val="0"/>
                <w:sz w:val="24"/>
                <w:szCs w:val="24"/>
              </w:rPr>
            </w:pPr>
          </w:p>
        </w:tc>
        <w:tc>
          <w:tcPr>
            <w:tcW w:w="1158" w:type="dxa"/>
            <w:noWrap/>
            <w:vAlign w:val="center"/>
          </w:tcPr>
          <w:p w14:paraId="710EBAFB">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&gt;80</w:t>
            </w:r>
          </w:p>
        </w:tc>
        <w:tc>
          <w:tcPr>
            <w:tcW w:w="1020" w:type="dxa"/>
            <w:noWrap/>
            <w:vAlign w:val="center"/>
          </w:tcPr>
          <w:p w14:paraId="3CE60E92">
            <w:pPr>
              <w:spacing w:line="360" w:lineRule="auto"/>
              <w:ind w:firstLine="0" w:firstLineChars="0"/>
              <w:jc w:val="center"/>
              <w:rPr>
                <w:rFonts w:hint="eastAsia" w:ascii="宋体" w:hAnsi="宋体" w:eastAsia="宋体" w:cs="宋体"/>
                <w:color w:val="000000"/>
                <w:kern w:val="0"/>
                <w:sz w:val="24"/>
                <w:szCs w:val="24"/>
              </w:rPr>
            </w:pPr>
          </w:p>
        </w:tc>
        <w:tc>
          <w:tcPr>
            <w:tcW w:w="1065" w:type="dxa"/>
            <w:noWrap/>
            <w:vAlign w:val="center"/>
          </w:tcPr>
          <w:p w14:paraId="5379394D">
            <w:pPr>
              <w:spacing w:line="360" w:lineRule="auto"/>
              <w:ind w:firstLine="0" w:firstLineChars="0"/>
              <w:jc w:val="center"/>
              <w:rPr>
                <w:rFonts w:hint="eastAsia" w:ascii="宋体" w:hAnsi="宋体" w:eastAsia="宋体" w:cs="宋体"/>
                <w:color w:val="000000"/>
                <w:kern w:val="0"/>
                <w:sz w:val="24"/>
                <w:szCs w:val="24"/>
              </w:rPr>
            </w:pPr>
          </w:p>
        </w:tc>
        <w:tc>
          <w:tcPr>
            <w:tcW w:w="1173" w:type="dxa"/>
            <w:noWrap/>
            <w:vAlign w:val="center"/>
          </w:tcPr>
          <w:p w14:paraId="3466586B">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约束性</w:t>
            </w:r>
          </w:p>
        </w:tc>
      </w:tr>
      <w:tr w14:paraId="79FB321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Merge w:val="continue"/>
          </w:tcPr>
          <w:p w14:paraId="5B04D42E">
            <w:pPr>
              <w:spacing w:line="360" w:lineRule="auto"/>
              <w:ind w:firstLine="480" w:firstLineChars="200"/>
              <w:rPr>
                <w:rFonts w:hint="eastAsia" w:ascii="宋体" w:hAnsi="宋体" w:eastAsia="宋体" w:cs="宋体"/>
                <w:color w:val="000000"/>
                <w:kern w:val="0"/>
                <w:sz w:val="24"/>
                <w:szCs w:val="24"/>
              </w:rPr>
            </w:pPr>
          </w:p>
        </w:tc>
        <w:tc>
          <w:tcPr>
            <w:tcW w:w="2560" w:type="dxa"/>
            <w:noWrap/>
            <w:vAlign w:val="center"/>
          </w:tcPr>
          <w:p w14:paraId="4B709D8B">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主要江河流域水质优良率比例（%）</w:t>
            </w:r>
          </w:p>
        </w:tc>
        <w:tc>
          <w:tcPr>
            <w:tcW w:w="870" w:type="dxa"/>
            <w:noWrap/>
            <w:vAlign w:val="center"/>
          </w:tcPr>
          <w:p w14:paraId="41204731">
            <w:pPr>
              <w:spacing w:line="360" w:lineRule="auto"/>
              <w:ind w:firstLine="0" w:firstLineChars="0"/>
              <w:jc w:val="center"/>
              <w:rPr>
                <w:rFonts w:hint="eastAsia" w:ascii="宋体" w:hAnsi="宋体" w:eastAsia="宋体" w:cs="宋体"/>
                <w:color w:val="000000"/>
                <w:kern w:val="0"/>
                <w:sz w:val="24"/>
                <w:szCs w:val="24"/>
              </w:rPr>
            </w:pPr>
          </w:p>
        </w:tc>
        <w:tc>
          <w:tcPr>
            <w:tcW w:w="1158" w:type="dxa"/>
            <w:noWrap/>
            <w:vAlign w:val="center"/>
          </w:tcPr>
          <w:p w14:paraId="7E8A6CBB">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&gt;94</w:t>
            </w:r>
          </w:p>
        </w:tc>
        <w:tc>
          <w:tcPr>
            <w:tcW w:w="1020" w:type="dxa"/>
            <w:noWrap/>
            <w:vAlign w:val="center"/>
          </w:tcPr>
          <w:p w14:paraId="6E9A5201">
            <w:pPr>
              <w:spacing w:line="360" w:lineRule="auto"/>
              <w:ind w:firstLine="0" w:firstLineChars="0"/>
              <w:jc w:val="center"/>
              <w:rPr>
                <w:rFonts w:hint="eastAsia" w:ascii="宋体" w:hAnsi="宋体" w:eastAsia="宋体" w:cs="宋体"/>
                <w:color w:val="000000"/>
                <w:kern w:val="0"/>
                <w:sz w:val="24"/>
                <w:szCs w:val="24"/>
              </w:rPr>
            </w:pPr>
          </w:p>
        </w:tc>
        <w:tc>
          <w:tcPr>
            <w:tcW w:w="1065" w:type="dxa"/>
            <w:noWrap/>
            <w:vAlign w:val="center"/>
          </w:tcPr>
          <w:p w14:paraId="6C527FE9">
            <w:pPr>
              <w:spacing w:line="360" w:lineRule="auto"/>
              <w:ind w:firstLine="0" w:firstLineChars="0"/>
              <w:jc w:val="center"/>
              <w:rPr>
                <w:rFonts w:hint="eastAsia" w:ascii="宋体" w:hAnsi="宋体" w:eastAsia="宋体" w:cs="宋体"/>
                <w:color w:val="000000"/>
                <w:kern w:val="0"/>
                <w:sz w:val="24"/>
                <w:szCs w:val="24"/>
              </w:rPr>
            </w:pPr>
          </w:p>
        </w:tc>
        <w:tc>
          <w:tcPr>
            <w:tcW w:w="1173" w:type="dxa"/>
            <w:noWrap/>
            <w:vAlign w:val="center"/>
          </w:tcPr>
          <w:p w14:paraId="1BBD767B">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约束性</w:t>
            </w:r>
          </w:p>
        </w:tc>
      </w:tr>
    </w:tbl>
    <w:p w14:paraId="5ACDD238">
      <w:pPr>
        <w:ind w:firstLine="0" w:firstLineChars="0"/>
        <w:rPr>
          <w:rFonts w:asciiTheme="minorHAnsi" w:hAnsiTheme="minorHAnsi" w:eastAsiaTheme="minorEastAsia" w:cstheme="minorBidi"/>
          <w:color w:val="000000" w:themeColor="text1"/>
          <w:szCs w:val="22"/>
        </w:rPr>
      </w:pPr>
    </w:p>
    <w:p w14:paraId="318D1E23">
      <w:pPr>
        <w:pStyle w:val="3"/>
        <w:ind w:firstLine="643"/>
        <w:rPr>
          <w:rFonts w:ascii="楷体_GB2312" w:eastAsia="楷体_GB2312"/>
          <w:color w:val="000000" w:themeColor="text1"/>
        </w:rPr>
      </w:pPr>
      <w:bookmarkStart w:id="12" w:name="_Toc71816231"/>
      <w:r>
        <w:rPr>
          <w:rFonts w:hint="eastAsia" w:ascii="楷体_GB2312" w:eastAsia="楷体_GB2312"/>
          <w:color w:val="000000" w:themeColor="text1"/>
        </w:rPr>
        <w:t>第二节 充分把握“十四五”时期面临的机遇与挑战</w:t>
      </w:r>
      <w:bookmarkEnd w:id="5"/>
      <w:bookmarkEnd w:id="12"/>
    </w:p>
    <w:p w14:paraId="7534FC5E">
      <w:pPr>
        <w:ind w:firstLine="640"/>
        <w:jc w:val="both"/>
        <w:rPr>
          <w:rFonts w:ascii="仿宋_GB2312" w:hAnsi="仿宋" w:eastAsia="仿宋_GB2312" w:cs="华文楷体"/>
          <w:color w:val="000000" w:themeColor="text1"/>
          <w:sz w:val="32"/>
          <w:szCs w:val="32"/>
        </w:rPr>
      </w:pPr>
      <w:r>
        <w:rPr>
          <w:rFonts w:hint="eastAsia" w:ascii="仿宋_GB2312" w:hAnsi="仿宋" w:eastAsia="仿宋_GB2312" w:cs="华文楷体"/>
          <w:color w:val="000000" w:themeColor="text1"/>
          <w:sz w:val="32"/>
          <w:szCs w:val="32"/>
        </w:rPr>
        <w:t>当今世界正经历百年未有之大变局，世界政治经济格局发生重大变化，新冠疫情对世界经济造成重大冲击，使得本已脆弱的经济复苏形势急转直下。单边主义和贸易保护主义抬头，技术封锁、产业链断供风险凸显，深刻影响全球化发展进程，不稳定和不确定性因素明显增多。而与此同时，新一轮科技革命和产业变革深入发展，国际力量对比深度调整，美国再工业化、德国工业4.0及欧洲工业复兴战略方兴未艾，世界主要国家都在强化创新战略部署，全球创新竞争进一步加剧。在纷繁诡谲的国际形势中，如何把握这种“大变局”，充分发挥国内国外各种力量，坚定不移走自己的路，集中力量办好自己的事，推动国际格局和国际秩序朝着有利于人类和平发展的方向前进，是“十四五”时期我国面临的现实挑战和机遇。</w:t>
      </w:r>
    </w:p>
    <w:p w14:paraId="3A87E5E4">
      <w:pPr>
        <w:ind w:firstLine="640"/>
        <w:jc w:val="both"/>
        <w:rPr>
          <w:rFonts w:ascii="仿宋_GB2312" w:hAnsi="仿宋" w:eastAsia="仿宋_GB2312" w:cs="华文楷体"/>
          <w:color w:val="000000" w:themeColor="text1"/>
          <w:sz w:val="32"/>
          <w:szCs w:val="32"/>
        </w:rPr>
      </w:pPr>
      <w:r>
        <w:rPr>
          <w:rFonts w:hint="eastAsia" w:ascii="仿宋_GB2312" w:hAnsi="仿宋" w:eastAsia="仿宋_GB2312" w:cs="华文楷体"/>
          <w:color w:val="000000" w:themeColor="text1"/>
          <w:sz w:val="32"/>
          <w:szCs w:val="32"/>
        </w:rPr>
        <w:t>就国内来看，“十四五”时期是我国经济由高速增长转向高质量发展，转变发展方式、优化经济产业结构、转换增长动能的攻关期。党审时度势，提出“构建以国内大循环为主体、国内国际双循环相互促进的新发展格局”这一重大战略构想，使生产、分配、流通、消费更多依托国内市场。同时我国发展不平衡不充分问题仍然突出，发展中的矛盾和问题集中体现在发展质量上，重点领域关键环节改革任务仍然艰巨，创新能力不适应高质量发展要求，生态环保任重道远，民生保障存在短板，社会治理还有弱项。这要求我们进一步构建高质量的现代化经济体系，实现综合国力和国际影响力的大幅提升，在发展中不断保障和改善民生、创新社会治理，优化社会结构，使发展成果更好惠及全体人民，不断实现人民对美好生活的向往。</w:t>
      </w:r>
    </w:p>
    <w:p w14:paraId="623B9CFA">
      <w:pPr>
        <w:ind w:firstLine="640"/>
        <w:jc w:val="both"/>
        <w:rPr>
          <w:rFonts w:ascii="仿宋_GB2312" w:hAnsi="仿宋" w:eastAsia="仿宋_GB2312" w:cs="华文楷体"/>
          <w:color w:val="000000" w:themeColor="text1"/>
          <w:sz w:val="32"/>
          <w:szCs w:val="32"/>
        </w:rPr>
      </w:pPr>
      <w:r>
        <w:rPr>
          <w:rFonts w:hint="eastAsia" w:ascii="仿宋_GB2312" w:hAnsi="仿宋" w:eastAsia="仿宋_GB2312" w:cs="华文楷体"/>
          <w:color w:val="000000" w:themeColor="text1"/>
          <w:sz w:val="32"/>
          <w:szCs w:val="32"/>
        </w:rPr>
        <w:t>对于广西和柳州市而言，面对国内外发展新形势变化，广西将深入贯彻落实习近平总书记对广西工作的重要指示精神，围绕“建设壮美广西 共圆复兴梦想”总目标总要求，全面落实“三大定位”新使命和“五个扎实”新要求，立足“一湾相挽十一国，良性互动东中西”的独特区位优势，主动融入国内国际双循环，以推动高质量发展为主题，深入实施创新驱动战略，积极部署西部陆海新通道、珠江—西江经济带和全面对接融入粤港澳大湾区建设，深化与“一带一路”及东盟国家开放合作，奋力将广西打造成为国内国际双循环重要节点枢纽，加快建设现代化经济体系，激发经济新动能，提升自主创新能力。就柳州市来看，“十四五”时期将全力推进“三大建设”，加快构建“八大体系”，全面融入以国内大循环为主体、国内国际双循环相互促进的新发展格局，积极打造广西高质量发展先行区、制造业高质量发展示范区，基本建成现代制造城，这些都为鱼峰区“十四五”期加快发展提供了难得的新机遇。</w:t>
      </w:r>
    </w:p>
    <w:p w14:paraId="7FEC0067">
      <w:pPr>
        <w:ind w:firstLine="640"/>
        <w:jc w:val="both"/>
        <w:rPr>
          <w:rFonts w:ascii="仿宋" w:hAnsi="仿宋" w:eastAsia="仿宋" w:cs="华文楷体"/>
          <w:color w:val="000000" w:themeColor="text1"/>
          <w:sz w:val="32"/>
          <w:szCs w:val="32"/>
        </w:rPr>
      </w:pPr>
      <w:r>
        <w:rPr>
          <w:rFonts w:hint="eastAsia" w:ascii="仿宋_GB2312" w:hAnsi="仿宋" w:eastAsia="仿宋_GB2312" w:cs="华文楷体"/>
          <w:color w:val="000000" w:themeColor="text1"/>
          <w:sz w:val="32"/>
          <w:szCs w:val="32"/>
        </w:rPr>
        <w:t>对于鱼峰区来说，“十四五”时期是鱼峰“六区”建设的关键时期，既面临着重大的发展机遇，同时也是鱼峰区负重前行、爬坡过坎、滚石上山的重要时期。必须清醒看到，鱼峰区还存在思想解放不够，制造业水平不高，经济下行压力较大，新兴产业未形成产业聚集效应，企业自主创新能力不强，城乡发展不够均衡，公共服务不够完善，民生欠账较多，社会治理存在短板，部分干部干事创业精神不足等困难挑战。为此，必须要增强机遇意识、风险意识，在纷繁复杂的国内外形势面前保持战略定力，勇于知难而进，在危机中育先机，于变局中开新局。要在主动融入国内国际双循环、构建新发展格局中找准鱼峰定位、发挥鱼峰优势，奋力开启全面建设社会主义现代化新鱼峰的伟大新征程，再创新辉煌。</w:t>
      </w:r>
    </w:p>
    <w:p w14:paraId="463B1D59">
      <w:pPr>
        <w:pStyle w:val="2"/>
        <w:ind w:firstLine="720"/>
        <w:jc w:val="center"/>
        <w:rPr>
          <w:rFonts w:ascii="黑体" w:hAnsi="黑体" w:eastAsia="黑体"/>
          <w:b w:val="0"/>
          <w:color w:val="000000" w:themeColor="text1"/>
          <w:sz w:val="36"/>
          <w:szCs w:val="36"/>
        </w:rPr>
      </w:pPr>
      <w:bookmarkStart w:id="13" w:name="_Toc71816232"/>
      <w:bookmarkStart w:id="14" w:name="_Toc17664"/>
      <w:r>
        <w:rPr>
          <w:rFonts w:hint="eastAsia" w:ascii="黑体" w:hAnsi="黑体" w:eastAsia="黑体"/>
          <w:b w:val="0"/>
          <w:color w:val="000000" w:themeColor="text1"/>
          <w:sz w:val="36"/>
          <w:szCs w:val="36"/>
        </w:rPr>
        <w:t>第二章 明确目标 推动经济社会全面发展</w:t>
      </w:r>
      <w:bookmarkEnd w:id="13"/>
      <w:bookmarkEnd w:id="14"/>
    </w:p>
    <w:p w14:paraId="4B0F65FB">
      <w:pPr>
        <w:pStyle w:val="3"/>
        <w:spacing w:line="480" w:lineRule="auto"/>
        <w:ind w:firstLine="643"/>
        <w:jc w:val="center"/>
        <w:rPr>
          <w:rFonts w:ascii="楷体_GB2312" w:eastAsia="楷体_GB2312"/>
          <w:color w:val="000000" w:themeColor="text1"/>
        </w:rPr>
      </w:pPr>
      <w:bookmarkStart w:id="15" w:name="_Toc18224"/>
      <w:bookmarkStart w:id="16" w:name="_Toc71816233"/>
      <w:r>
        <w:rPr>
          <w:rFonts w:hint="eastAsia" w:ascii="楷体_GB2312" w:eastAsia="楷体_GB2312"/>
          <w:color w:val="000000" w:themeColor="text1"/>
        </w:rPr>
        <w:t>第一节 指导思想</w:t>
      </w:r>
      <w:bookmarkEnd w:id="15"/>
      <w:bookmarkEnd w:id="16"/>
    </w:p>
    <w:p w14:paraId="06525341">
      <w:pPr>
        <w:ind w:firstLine="640"/>
        <w:jc w:val="both"/>
        <w:rPr>
          <w:rFonts w:ascii="仿宋_GB2312" w:hAnsi="仿宋" w:eastAsia="仿宋_GB2312" w:cs="华文楷体"/>
          <w:color w:val="000000" w:themeColor="text1"/>
          <w:sz w:val="32"/>
          <w:szCs w:val="32"/>
        </w:rPr>
      </w:pPr>
      <w:bookmarkStart w:id="17" w:name="_Toc14712"/>
      <w:r>
        <w:rPr>
          <w:rFonts w:hint="eastAsia" w:ascii="仿宋_GB2312" w:hAnsi="仿宋" w:eastAsia="仿宋_GB2312" w:cs="华文楷体"/>
          <w:color w:val="000000" w:themeColor="text1"/>
          <w:sz w:val="32"/>
          <w:szCs w:val="32"/>
        </w:rPr>
        <w:t>高举中国特色社会主义伟大旗帜，深入贯彻党的十九大和十九届二中、三中、四中、五中全会精神，以马克思列宁主义、毛泽东思想、邓小平理论、“三个代表”重要思想、科学发展观、习近平新时代中国特色社会主义思想为指导，全面贯彻习近平总书记对广西工作的重要指示精神，以推动高质量发展为主题，以深化供给侧结构性改革为主线，以改革创新为根本动力，以满足人民群众日益增长的美好生活需要为根本目的，以打造“两基地一中心四洼地”为抓手，高质量推进“六区”建设，实施“六大振兴”，初步构建“六大体系”，主动融入国内国际双循环，为全面建设社会主义现代化富民强区新鱼峰开好局、起好步。</w:t>
      </w:r>
    </w:p>
    <w:bookmarkEnd w:id="17"/>
    <w:p w14:paraId="32AF98D5">
      <w:pPr>
        <w:pStyle w:val="3"/>
        <w:spacing w:line="480" w:lineRule="auto"/>
        <w:ind w:firstLine="643"/>
        <w:jc w:val="center"/>
        <w:rPr>
          <w:rFonts w:ascii="楷体_GB2312" w:eastAsia="楷体_GB2312"/>
          <w:color w:val="000000" w:themeColor="text1"/>
        </w:rPr>
      </w:pPr>
      <w:bookmarkStart w:id="18" w:name="_Toc71816234"/>
      <w:bookmarkStart w:id="19" w:name="_Toc22536"/>
      <w:r>
        <w:rPr>
          <w:rFonts w:hint="eastAsia" w:ascii="楷体_GB2312" w:eastAsia="楷体_GB2312"/>
          <w:color w:val="000000" w:themeColor="text1"/>
        </w:rPr>
        <w:t>第二节 基本原则</w:t>
      </w:r>
      <w:bookmarkEnd w:id="18"/>
    </w:p>
    <w:p w14:paraId="3E7B817A">
      <w:pPr>
        <w:ind w:firstLine="640"/>
        <w:jc w:val="both"/>
        <w:rPr>
          <w:rFonts w:ascii="仿宋_GB2312" w:hAnsi="仿宋" w:eastAsia="仿宋_GB2312" w:cs="华文楷体"/>
          <w:color w:val="000000" w:themeColor="text1"/>
          <w:sz w:val="32"/>
          <w:szCs w:val="32"/>
        </w:rPr>
      </w:pPr>
      <w:r>
        <w:rPr>
          <w:rFonts w:hint="eastAsia" w:ascii="仿宋_GB2312" w:hAnsi="仿宋" w:eastAsia="仿宋_GB2312" w:cs="华文楷体"/>
          <w:color w:val="000000" w:themeColor="text1"/>
          <w:sz w:val="32"/>
          <w:szCs w:val="32"/>
        </w:rPr>
        <w:t>“十四五”时期，为开启鱼峰区社会主义现代化建设新征程的良好局面，必须坚持以下原则：</w:t>
      </w:r>
    </w:p>
    <w:p w14:paraId="4C2FDCBF">
      <w:pPr>
        <w:ind w:firstLine="640"/>
        <w:jc w:val="both"/>
        <w:rPr>
          <w:rFonts w:ascii="仿宋_GB2312" w:hAnsi="仿宋" w:eastAsia="仿宋_GB2312" w:cs="华文楷体"/>
          <w:color w:val="000000" w:themeColor="text1"/>
          <w:sz w:val="32"/>
          <w:szCs w:val="32"/>
        </w:rPr>
      </w:pPr>
      <w:r>
        <w:rPr>
          <w:rFonts w:hint="eastAsia" w:ascii="仿宋_GB2312" w:hAnsi="仿宋" w:eastAsia="仿宋_GB2312" w:cs="华文楷体"/>
          <w:color w:val="000000" w:themeColor="text1"/>
          <w:sz w:val="32"/>
          <w:szCs w:val="32"/>
        </w:rPr>
        <w:t>──坚持党的全面领导。坚持和完善党领导经济社会发展的体制机制，坚持和完善中国特色社会主义制度，不断提高贯彻新发展理念、推动高质量发展、构建新发展格局的能力和水平，为“十四五”时期鱼峰区经济社会健康发展提供根本政治保证。</w:t>
      </w:r>
    </w:p>
    <w:p w14:paraId="50E3ECE4">
      <w:pPr>
        <w:ind w:firstLine="640"/>
        <w:jc w:val="both"/>
        <w:rPr>
          <w:rFonts w:ascii="仿宋_GB2312" w:hAnsi="仿宋" w:eastAsia="仿宋_GB2312" w:cs="华文楷体"/>
          <w:color w:val="000000" w:themeColor="text1"/>
          <w:sz w:val="32"/>
          <w:szCs w:val="32"/>
        </w:rPr>
      </w:pPr>
      <w:r>
        <w:rPr>
          <w:rFonts w:hint="eastAsia" w:ascii="仿宋_GB2312" w:hAnsi="仿宋" w:eastAsia="仿宋_GB2312" w:cs="华文楷体"/>
          <w:color w:val="000000" w:themeColor="text1"/>
          <w:sz w:val="32"/>
          <w:szCs w:val="32"/>
        </w:rPr>
        <w:t>──坚持以人民为中心。坚持人民主体和人民至上理念，坚持做到发展为了人民、发展成果由人民共享，维护人民根本利益。切实解决人民最关心最迫切需要解决的问题，全面增进民生福祉，不断实现人民对美好生活的向往。</w:t>
      </w:r>
    </w:p>
    <w:p w14:paraId="62E9BA5E">
      <w:pPr>
        <w:ind w:firstLine="640"/>
        <w:jc w:val="both"/>
        <w:rPr>
          <w:rFonts w:ascii="仿宋_GB2312" w:hAnsi="仿宋" w:eastAsia="仿宋_GB2312" w:cs="华文楷体"/>
          <w:color w:val="000000" w:themeColor="text1"/>
          <w:sz w:val="32"/>
          <w:szCs w:val="32"/>
        </w:rPr>
      </w:pPr>
      <w:r>
        <w:rPr>
          <w:rFonts w:hint="eastAsia" w:ascii="仿宋_GB2312" w:hAnsi="仿宋" w:eastAsia="仿宋_GB2312" w:cs="华文楷体"/>
          <w:color w:val="000000" w:themeColor="text1"/>
          <w:sz w:val="32"/>
          <w:szCs w:val="32"/>
        </w:rPr>
        <w:t>──坚持新发展理念。把新发展理念贯穿“十四五”发展全过程和各领域，坚定不移走高质量发展之路，高水平打造“六区”建设，全面构建新发展格局。坚定不移建设制造强区、质量强区、生态鱼峰、健康鱼峰、平安鱼峰，实现更高质量、更有效率、更加公平、更可持续、更为安全的发展。</w:t>
      </w:r>
    </w:p>
    <w:p w14:paraId="741F7ABA">
      <w:pPr>
        <w:ind w:firstLine="640"/>
        <w:jc w:val="both"/>
        <w:rPr>
          <w:rFonts w:ascii="仿宋_GB2312" w:hAnsi="仿宋" w:eastAsia="仿宋_GB2312" w:cs="华文楷体"/>
          <w:color w:val="000000" w:themeColor="text1"/>
          <w:sz w:val="32"/>
          <w:szCs w:val="32"/>
        </w:rPr>
      </w:pPr>
      <w:r>
        <w:rPr>
          <w:rFonts w:hint="eastAsia" w:ascii="仿宋_GB2312" w:hAnsi="仿宋" w:eastAsia="仿宋_GB2312" w:cs="华文楷体"/>
          <w:color w:val="000000" w:themeColor="text1"/>
          <w:sz w:val="32"/>
          <w:szCs w:val="32"/>
        </w:rPr>
        <w:t>──坚持深化改革开放。坚持推进供给侧结构性改革，全力推进重点领域改革,着力</w:t>
      </w:r>
      <w:r>
        <w:rPr>
          <w:rFonts w:hint="eastAsia" w:ascii="仿宋_GB2312" w:hAnsi="仿宋" w:eastAsia="仿宋_GB2312" w:cs="华文楷体"/>
          <w:color w:val="000000" w:themeColor="text1"/>
          <w:sz w:val="32"/>
          <w:szCs w:val="32"/>
          <w:lang w:eastAsia="zh-CN"/>
        </w:rPr>
        <w:t>推进国家治理体系和治理能力现代化</w:t>
      </w:r>
      <w:r>
        <w:rPr>
          <w:rFonts w:hint="eastAsia" w:ascii="仿宋_GB2312" w:hAnsi="仿宋" w:eastAsia="仿宋_GB2312" w:cs="华文楷体"/>
          <w:color w:val="000000" w:themeColor="text1"/>
          <w:sz w:val="32"/>
          <w:szCs w:val="32"/>
        </w:rPr>
        <w:t>。持续优化营商环境，坚决破除一切制约高质量发展、高效能治理、高品质生活的体制机制障碍。主动融入国内国际双循环，“一带一路”、粤港澳大湾区等国家战略，持续推进高水平开放。</w:t>
      </w:r>
    </w:p>
    <w:p w14:paraId="61284D45">
      <w:pPr>
        <w:ind w:firstLine="640"/>
        <w:jc w:val="both"/>
        <w:rPr>
          <w:rFonts w:ascii="仿宋_GB2312" w:hAnsi="仿宋" w:eastAsia="仿宋_GB2312" w:cs="华文楷体"/>
          <w:color w:val="000000" w:themeColor="text1"/>
          <w:sz w:val="32"/>
          <w:szCs w:val="32"/>
        </w:rPr>
      </w:pPr>
      <w:r>
        <w:rPr>
          <w:rFonts w:hint="eastAsia" w:ascii="仿宋_GB2312" w:hAnsi="仿宋" w:eastAsia="仿宋_GB2312" w:cs="华文楷体"/>
          <w:color w:val="000000" w:themeColor="text1"/>
          <w:sz w:val="32"/>
          <w:szCs w:val="32"/>
        </w:rPr>
        <w:t>──坚持系统观念。加强前瞻性思考、全局性谋划、战略性布局、整体性推进。牢固树立全国、全区、全市一盘棋思想，强化底线思维，防范和化解各类风险，着力固根基、扬优势、补短板、强弱项。以系统观念来系统谋划、统筹推进各领域工作，实现当前与未来相协调、全局与局部相配套、整体推进与重点突破相统一。</w:t>
      </w:r>
    </w:p>
    <w:p w14:paraId="549AF751">
      <w:pPr>
        <w:pStyle w:val="3"/>
        <w:ind w:firstLine="643"/>
        <w:jc w:val="center"/>
        <w:rPr>
          <w:rFonts w:ascii="楷体_GB2312" w:eastAsia="楷体_GB2312"/>
          <w:color w:val="000000" w:themeColor="text1"/>
        </w:rPr>
      </w:pPr>
      <w:bookmarkStart w:id="20" w:name="_Toc71816235"/>
      <w:r>
        <w:rPr>
          <w:rFonts w:hint="eastAsia" w:ascii="楷体_GB2312" w:eastAsia="楷体_GB2312"/>
          <w:color w:val="000000" w:themeColor="text1"/>
        </w:rPr>
        <w:t>第三节</w:t>
      </w:r>
      <w:bookmarkEnd w:id="19"/>
      <w:r>
        <w:rPr>
          <w:rFonts w:hint="eastAsia" w:ascii="楷体_GB2312" w:eastAsia="楷体_GB2312"/>
          <w:color w:val="000000" w:themeColor="text1"/>
          <w:lang w:val="en-US" w:eastAsia="zh-CN"/>
        </w:rPr>
        <w:t xml:space="preserve"> </w:t>
      </w:r>
      <w:r>
        <w:rPr>
          <w:rFonts w:hint="eastAsia" w:ascii="楷体_GB2312" w:eastAsia="楷体_GB2312"/>
          <w:color w:val="000000" w:themeColor="text1"/>
        </w:rPr>
        <w:t>功能定位</w:t>
      </w:r>
      <w:bookmarkEnd w:id="20"/>
    </w:p>
    <w:p w14:paraId="2D09D171">
      <w:pPr>
        <w:ind w:firstLine="640"/>
        <w:jc w:val="both"/>
        <w:rPr>
          <w:rFonts w:ascii="仿宋_GB2312" w:hAnsi="仿宋" w:eastAsia="仿宋_GB2312" w:cs="华文楷体"/>
          <w:color w:val="000000" w:themeColor="text1"/>
          <w:sz w:val="32"/>
          <w:szCs w:val="32"/>
        </w:rPr>
      </w:pPr>
      <w:r>
        <w:rPr>
          <w:rFonts w:hint="eastAsia" w:ascii="仿宋_GB2312" w:hAnsi="仿宋" w:eastAsia="仿宋_GB2312" w:cs="华文楷体"/>
          <w:color w:val="000000" w:themeColor="text1"/>
          <w:sz w:val="32"/>
          <w:szCs w:val="32"/>
        </w:rPr>
        <w:t>围绕柳州市打造广西高质量发展先行区、制造业高质量发展示范区战略目标，全面推进“三大建设”，加快构建“八大体系”，全力推进鱼峰“六区”建设，加快融入国内国际双循环，将“十四五”时期鱼峰区发展定位为“两基地一中心四洼地”。</w:t>
      </w:r>
    </w:p>
    <w:p w14:paraId="206633B5">
      <w:pPr>
        <w:ind w:firstLine="643"/>
        <w:jc w:val="both"/>
        <w:rPr>
          <w:rFonts w:ascii="仿宋_GB2312" w:hAnsi="仿宋" w:eastAsia="仿宋_GB2312" w:cs="华文楷体"/>
          <w:color w:val="000000" w:themeColor="text1"/>
          <w:sz w:val="32"/>
          <w:szCs w:val="32"/>
        </w:rPr>
      </w:pPr>
      <w:bookmarkStart w:id="21" w:name="_Hlk60098352"/>
      <w:r>
        <w:rPr>
          <w:rFonts w:hint="eastAsia" w:ascii="仿宋_GB2312" w:hAnsi="仿宋" w:eastAsia="仿宋_GB2312" w:cs="华文楷体"/>
          <w:b/>
          <w:bCs/>
          <w:color w:val="000000" w:themeColor="text1"/>
          <w:sz w:val="32"/>
          <w:szCs w:val="32"/>
        </w:rPr>
        <w:t>大健康高质量发展示范基地</w:t>
      </w:r>
      <w:bookmarkEnd w:id="21"/>
      <w:r>
        <w:rPr>
          <w:rFonts w:hint="eastAsia" w:ascii="仿宋_GB2312" w:hAnsi="仿宋" w:eastAsia="仿宋_GB2312" w:cs="华文楷体"/>
          <w:b/>
          <w:bCs/>
          <w:color w:val="000000" w:themeColor="text1"/>
          <w:sz w:val="32"/>
          <w:szCs w:val="32"/>
        </w:rPr>
        <w:t>。</w:t>
      </w:r>
      <w:r>
        <w:rPr>
          <w:rFonts w:hint="eastAsia" w:ascii="仿宋_GB2312" w:hAnsi="仿宋" w:eastAsia="仿宋_GB2312" w:cs="华文楷体"/>
          <w:color w:val="000000" w:themeColor="text1"/>
          <w:sz w:val="32"/>
          <w:szCs w:val="32"/>
        </w:rPr>
        <w:t>依托大健康制造业，辐射带动健康养老、健康医疗、健康旅游、健康运动产业联动发展的大健康产业体系，推动集养老、医疗、保健食品、医疗康复器械应用示范、健康职业教育与培训等功能于一体的康养产业园区建设，推进鱼峰旅游资源与康养资源的深度融合，积极开发休闲度假、康复疗养、会展节庆、健康文化等健康旅游产品，建设有核心竞争力，特色鲜明的大健康高质量发展示范基地。</w:t>
      </w:r>
    </w:p>
    <w:p w14:paraId="780518E1">
      <w:pPr>
        <w:ind w:firstLine="643"/>
        <w:jc w:val="both"/>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广西先进的大健康产业制造基地。</w:t>
      </w:r>
      <w:r>
        <w:rPr>
          <w:rFonts w:hint="eastAsia" w:ascii="仿宋_GB2312" w:hAnsi="仿宋" w:eastAsia="仿宋_GB2312" w:cs="华文楷体"/>
          <w:color w:val="000000" w:themeColor="text1"/>
          <w:sz w:val="32"/>
          <w:szCs w:val="32"/>
        </w:rPr>
        <w:t>围绕螺蛳粉等健康食品、生物制药、医疗器械康复器具等重点产业，聚焦高端、打造品牌，全力加快工业园洛维片区、河表片区、静脉产业园、里雍镇的连片联动发展，构建集产品开发、成果转化、企业服务、资本运作于一体的园区运行机制，全力打造特色食品、生物制药、医疗康复器械等三个百亿级产业集群，形成广西重要的大健康制造业基地。</w:t>
      </w:r>
    </w:p>
    <w:p w14:paraId="097B63C9">
      <w:pPr>
        <w:ind w:firstLine="643"/>
        <w:jc w:val="both"/>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西南少数民族风情旅游集散中心。</w:t>
      </w:r>
      <w:r>
        <w:rPr>
          <w:rFonts w:hint="eastAsia" w:ascii="仿宋_GB2312" w:hAnsi="仿宋" w:eastAsia="仿宋_GB2312" w:cs="华文楷体"/>
          <w:color w:val="000000" w:themeColor="text1"/>
          <w:sz w:val="32"/>
          <w:szCs w:val="32"/>
        </w:rPr>
        <w:t>以柳州旅游集散中心为依托，打造集美食餐饮、旅游交通换乘等旅游集散功能为一体的综合体。进一步完善集散中心联结机场、高铁、高速公路、轨道交通的功能，提升游客集散功能和能力。完善提升集散中心周边基础设施，加快城市风貌改造，突出壮侗苗瑶等民族特色。加大招商引资力度，吸引一批旅游企业将总部设立在鱼峰区，提升服务能力，将鱼峰区打造成为桂中乃至西南地区最重要的民族旅游集散中心，为柳州建设西南地区少数民族文化旅游核心目的地提供有力支撑。</w:t>
      </w:r>
    </w:p>
    <w:p w14:paraId="09986E56">
      <w:pPr>
        <w:ind w:firstLine="643"/>
        <w:jc w:val="both"/>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旅游洼地。</w:t>
      </w:r>
      <w:r>
        <w:rPr>
          <w:rFonts w:hint="eastAsia" w:ascii="仿宋_GB2312" w:hAnsi="仿宋" w:eastAsia="仿宋_GB2312" w:cs="华文楷体"/>
          <w:color w:val="000000" w:themeColor="text1"/>
          <w:sz w:val="32"/>
          <w:szCs w:val="32"/>
        </w:rPr>
        <w:t>深度挖掘鱼峰区螺蛳粉等特色文化，完善旅游点基础设施建设，引进大型旅游项目。结合乡村振兴、大健康产品开发等，大力发展各类文旅、康养项目。整合旅游资源，依托旅游集散中心，以申报全国全域旅游示范区为抓手，打造旅游洼地，将鱼峰区建设成为最具吸引力的旅游目的地。</w:t>
      </w:r>
    </w:p>
    <w:p w14:paraId="3944B9AA">
      <w:pPr>
        <w:ind w:firstLine="643"/>
        <w:jc w:val="both"/>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投资洼地。</w:t>
      </w:r>
      <w:r>
        <w:rPr>
          <w:rFonts w:hint="eastAsia" w:ascii="仿宋_GB2312" w:hAnsi="仿宋" w:eastAsia="仿宋_GB2312" w:cs="华文楷体"/>
          <w:color w:val="000000" w:themeColor="text1"/>
          <w:sz w:val="32"/>
          <w:szCs w:val="32"/>
        </w:rPr>
        <w:t>进一步深化放管服改革，优化营商环境，“十四五”时期营商环境主要指标进入全国先进水平。以优质营商环境、优质企业服务开展招商引资，突出产业链招商、突出招大引强、突出精准招商、突出招新引先，招引一批重大项目落户并形成建设高潮，将鱼峰区打造成为营商环境一流，大健康制造业、康养产业、文旅产业等领域的重要投资地。</w:t>
      </w:r>
    </w:p>
    <w:p w14:paraId="5210ED68">
      <w:pPr>
        <w:ind w:firstLine="643"/>
        <w:jc w:val="both"/>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人才洼地。</w:t>
      </w:r>
      <w:r>
        <w:rPr>
          <w:rFonts w:hint="eastAsia" w:ascii="仿宋_GB2312" w:hAnsi="仿宋" w:eastAsia="仿宋_GB2312" w:cs="华文楷体"/>
          <w:color w:val="000000" w:themeColor="text1"/>
          <w:sz w:val="32"/>
          <w:szCs w:val="32"/>
        </w:rPr>
        <w:t>牢固树立“人才是第一资源”理念，坚持党管人才原则，加大招才引智力度，扩大人才倍增效应，实施高端人才引领工程。突出“产才融合”，围绕产业发展需求引进和培育各类人才。开通人才服务绿色通道，加强人才服务“一站式服务窗口”建设，实施战略性产业人才、科研成果转化人才、高校毕业生等三类人才的创新创业扶持计划，为人才提供创新创业平台，从政策、资金、平台和服务保障等方面提供最大支持，将鱼峰区打造成为人才创新创业地。</w:t>
      </w:r>
    </w:p>
    <w:p w14:paraId="29F80025">
      <w:pPr>
        <w:ind w:firstLine="643"/>
        <w:jc w:val="both"/>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数据洼地。</w:t>
      </w:r>
      <w:r>
        <w:rPr>
          <w:rFonts w:hint="eastAsia" w:ascii="仿宋_GB2312" w:hAnsi="仿宋" w:eastAsia="仿宋_GB2312" w:cs="华文楷体"/>
          <w:color w:val="000000" w:themeColor="text1"/>
          <w:sz w:val="32"/>
          <w:szCs w:val="32"/>
        </w:rPr>
        <w:t>抓住新一代信息技术发展的战略机遇，以“龙翔云”等大数据平台为依托，以智慧城区建设为重点，加快建设新型基础设施，构建数据驱动发展新方式，推进数字产业创新发展，推动数字经济与实体经济深度融合发展，打造智慧政府、智慧城区，建设数据洼地。在此基础上推动以大数据、云计算为亮点的新经济新业态发展，将鱼峰区打造成为数字产业和新经济新业态聚集地。</w:t>
      </w:r>
    </w:p>
    <w:p w14:paraId="7F3CF0F9">
      <w:pPr>
        <w:pStyle w:val="3"/>
        <w:spacing w:line="415" w:lineRule="auto"/>
        <w:ind w:firstLine="643"/>
        <w:jc w:val="center"/>
        <w:rPr>
          <w:rFonts w:ascii="楷体_GB2312" w:eastAsia="楷体_GB2312"/>
          <w:color w:val="000000" w:themeColor="text1"/>
        </w:rPr>
      </w:pPr>
      <w:bookmarkStart w:id="22" w:name="_Toc71816236"/>
      <w:r>
        <w:rPr>
          <w:rFonts w:hint="eastAsia" w:ascii="楷体_GB2312" w:eastAsia="楷体_GB2312"/>
          <w:color w:val="000000" w:themeColor="text1"/>
        </w:rPr>
        <w:t>第四节 主要目标</w:t>
      </w:r>
      <w:bookmarkEnd w:id="22"/>
    </w:p>
    <w:p w14:paraId="40C33FFD">
      <w:pPr>
        <w:pStyle w:val="4"/>
        <w:ind w:firstLine="643"/>
        <w:rPr>
          <w:rFonts w:ascii="仿宋_GB2312" w:eastAsia="仿宋_GB2312"/>
          <w:color w:val="000000" w:themeColor="text1"/>
        </w:rPr>
      </w:pPr>
      <w:bookmarkStart w:id="23" w:name="_Toc71816237"/>
      <w:r>
        <w:rPr>
          <w:rFonts w:hint="eastAsia" w:ascii="仿宋_GB2312" w:eastAsia="仿宋_GB2312"/>
          <w:color w:val="000000" w:themeColor="text1"/>
        </w:rPr>
        <w:t>1.</w:t>
      </w:r>
      <w:r>
        <w:rPr>
          <w:rFonts w:hint="eastAsia" w:ascii="仿宋_GB2312" w:eastAsia="仿宋_GB2312"/>
          <w:color w:val="000000" w:themeColor="text1"/>
          <w:lang w:val="en-US" w:eastAsia="zh-CN"/>
        </w:rPr>
        <w:t xml:space="preserve"> </w:t>
      </w:r>
      <w:r>
        <w:rPr>
          <w:rFonts w:hint="eastAsia" w:ascii="仿宋_GB2312" w:eastAsia="仿宋_GB2312"/>
          <w:color w:val="000000" w:themeColor="text1"/>
        </w:rPr>
        <w:t>2035年远景目标</w:t>
      </w:r>
      <w:bookmarkEnd w:id="23"/>
    </w:p>
    <w:p w14:paraId="72A0548C">
      <w:pPr>
        <w:ind w:firstLine="640"/>
        <w:jc w:val="both"/>
        <w:rPr>
          <w:rFonts w:ascii="仿宋_GB2312" w:hAnsi="仿宋" w:eastAsia="仿宋_GB2312" w:cs="华文楷体"/>
          <w:color w:val="000000" w:themeColor="text1"/>
          <w:sz w:val="32"/>
          <w:szCs w:val="32"/>
        </w:rPr>
      </w:pPr>
      <w:r>
        <w:rPr>
          <w:rFonts w:hint="eastAsia" w:ascii="仿宋_GB2312" w:hAnsi="仿宋" w:eastAsia="仿宋_GB2312" w:cs="华文楷体"/>
          <w:color w:val="000000" w:themeColor="text1"/>
          <w:sz w:val="32"/>
          <w:szCs w:val="32"/>
        </w:rPr>
        <w:t>到2035年，支撑高质量发展和现代化建设的工业振兴中心区、商贸繁荣集聚区、文化传承核心区、城乡统筹示范区、智慧城市先行区、幸福宜居首善区全面建成。建成现代工业体系、现代开放体系、现代文明体系、现代农业体系、现代创新体系、现代生态体系等“六大现代体系”。地区生产总值增幅保持高于全区及柳州市平均水平，2030年力争人均GDP比2020年翻一番，到2035年人均纯收入比2020年翻一番，为柳州在全区率先实现现代化做出重要贡献。全区经济实力、科技实力、综合实力大幅跃升，经济总量、人均地区生产总值和城乡居民人均收入迈上新的大台阶，基本实现新型工业化、信息化、城镇化、农业现代化，以健康食品、生物医药、医疗器械康复器具为代表的大健康产业竞争力进入全国先进行列，建成现代化工业体系。城乡统筹达到更高水平，以人为核心的城镇化全面推进。深度融入双循环相互促进的发展新格局，西南少数民族风情旅游集散中心功能进一步突显。治理体系和治理能力现代化基本实现，法治鱼峰基本建成，平安鱼峰建设达到更高水平；城市文明程度达到新高度，文化软实力显著增强；绿色生产生活方式广泛形成，生态环境质量达到全国先进水平。公共服务体系优质均衡，城乡居民生活质量显著提高。达成富民强区的美好愿景，与自治区同步建成壮美广西、与柳州市同步率先在全区基本实现社会主义现代化。</w:t>
      </w:r>
    </w:p>
    <w:p w14:paraId="6E47FFB5">
      <w:pPr>
        <w:pStyle w:val="4"/>
        <w:numPr>
          <w:ilvl w:val="0"/>
          <w:numId w:val="2"/>
        </w:numPr>
        <w:ind w:firstLine="643"/>
        <w:rPr>
          <w:rFonts w:hint="eastAsia" w:ascii="楷体_GB2312" w:hAnsi="楷体_GB2312" w:eastAsia="楷体_GB2312" w:cs="楷体_GB2312"/>
          <w:color w:val="000000" w:themeColor="text1"/>
        </w:rPr>
      </w:pPr>
      <w:bookmarkStart w:id="24" w:name="_Toc71816238"/>
      <w:r>
        <w:rPr>
          <w:rFonts w:hint="eastAsia" w:ascii="楷体_GB2312" w:hAnsi="楷体_GB2312" w:eastAsia="楷体_GB2312" w:cs="楷体_GB2312"/>
          <w:color w:val="000000" w:themeColor="text1"/>
        </w:rPr>
        <w:t>“十四五”目标</w:t>
      </w:r>
      <w:bookmarkEnd w:id="24"/>
    </w:p>
    <w:p w14:paraId="323467EF">
      <w:pPr>
        <w:ind w:firstLine="640"/>
        <w:jc w:val="both"/>
        <w:rPr>
          <w:rFonts w:ascii="仿宋_GB2312" w:hAnsi="仿宋" w:eastAsia="仿宋_GB2312" w:cs="华文楷体"/>
          <w:color w:val="000000" w:themeColor="text1"/>
          <w:sz w:val="32"/>
          <w:szCs w:val="32"/>
        </w:rPr>
      </w:pPr>
      <w:r>
        <w:rPr>
          <w:rFonts w:hint="eastAsia" w:ascii="仿宋_GB2312" w:hAnsi="仿宋" w:eastAsia="仿宋_GB2312" w:cs="华文楷体"/>
          <w:color w:val="000000" w:themeColor="text1"/>
          <w:sz w:val="32"/>
          <w:szCs w:val="32"/>
        </w:rPr>
        <w:t>着眼于实现二</w:t>
      </w:r>
      <w:r>
        <w:rPr>
          <w:rFonts w:hint="eastAsia" w:ascii="仿宋_GB2312" w:hAnsi="仿宋" w:eastAsia="仿宋" w:cs="华文楷体"/>
          <w:color w:val="000000" w:themeColor="text1"/>
          <w:sz w:val="32"/>
          <w:szCs w:val="32"/>
        </w:rPr>
        <w:t>〇</w:t>
      </w:r>
      <w:r>
        <w:rPr>
          <w:rFonts w:hint="eastAsia" w:ascii="仿宋_GB2312" w:hAnsi="仿宋" w:eastAsia="仿宋_GB2312" w:cs="华文楷体"/>
          <w:color w:val="000000" w:themeColor="text1"/>
          <w:sz w:val="32"/>
          <w:szCs w:val="32"/>
        </w:rPr>
        <w:t>三五年基本建成社会主义现代化城区的远景目标，综合考虑鱼峰区发展的机遇、优势、条件，坚持目标导向、问题导向、结果导向相统一，今后五年经济社会发展要努力实现以下主要目标。</w:t>
      </w:r>
    </w:p>
    <w:p w14:paraId="711CB854">
      <w:pPr>
        <w:ind w:firstLine="643"/>
        <w:jc w:val="both"/>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“两基地一中心四洼地”功能定位基本实现。</w:t>
      </w:r>
      <w:r>
        <w:rPr>
          <w:rFonts w:hint="eastAsia" w:ascii="仿宋_GB2312" w:hAnsi="仿宋" w:eastAsia="仿宋_GB2312" w:cs="华文楷体"/>
          <w:color w:val="000000" w:themeColor="text1"/>
          <w:sz w:val="32"/>
          <w:szCs w:val="32"/>
        </w:rPr>
        <w:t>特点鲜明、核心竞争力强的大健康高质量发展示范基地、大健康制造基地基本建成，自主可控、安全高效的产业链更加健全，形成螺蛳粉等健康食品工业、生物医药、医疗器械康复器具等三大百亿级产业集群。西南少数民族风情旅游集散中心功能进一步完善提升，“城市会客厅”效应明显，旅游业实现跨越发展，全国全域旅游示范区成功申报。旅游洼地、投资洼地、人才洼地、数据洼地建设取得明显成效，成为广西具有吸引力的旅游目的地、营商环境一流投资地、人才创新创业地和数字经济及新经济新业态聚集地。</w:t>
      </w:r>
    </w:p>
    <w:p w14:paraId="6FA28FA2">
      <w:pPr>
        <w:ind w:firstLine="643"/>
        <w:jc w:val="both"/>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经济高质量发展迈上新台阶。</w:t>
      </w:r>
      <w:r>
        <w:rPr>
          <w:rFonts w:hint="eastAsia" w:ascii="仿宋_GB2312" w:hAnsi="仿宋" w:eastAsia="仿宋_GB2312" w:cs="华文楷体"/>
          <w:color w:val="000000" w:themeColor="text1"/>
          <w:sz w:val="32"/>
          <w:szCs w:val="32"/>
        </w:rPr>
        <w:t>新发展理念得到全面深入贯彻，在质量效益明显提升的基础上实现经济持续健康发展。地区生产总值增速保持在</w:t>
      </w:r>
      <w:r>
        <w:rPr>
          <w:rFonts w:ascii="仿宋_GB2312" w:hAnsi="仿宋" w:eastAsia="仿宋_GB2312" w:cs="华文楷体"/>
          <w:color w:val="000000" w:themeColor="text1"/>
          <w:sz w:val="32"/>
          <w:szCs w:val="32"/>
        </w:rPr>
        <w:t>8</w:t>
      </w:r>
      <w:r>
        <w:rPr>
          <w:rFonts w:hint="eastAsia" w:ascii="仿宋_GB2312" w:hAnsi="仿宋" w:eastAsia="仿宋_GB2312" w:cs="华文楷体"/>
          <w:color w:val="000000" w:themeColor="text1"/>
          <w:sz w:val="32"/>
          <w:szCs w:val="32"/>
        </w:rPr>
        <w:t>%以上，工业总产值突破</w:t>
      </w:r>
      <w:r>
        <w:rPr>
          <w:rFonts w:ascii="仿宋_GB2312" w:hAnsi="仿宋" w:eastAsia="仿宋_GB2312" w:cs="华文楷体"/>
          <w:color w:val="000000" w:themeColor="text1"/>
          <w:sz w:val="32"/>
          <w:szCs w:val="32"/>
        </w:rPr>
        <w:t>3</w:t>
      </w:r>
      <w:r>
        <w:rPr>
          <w:rFonts w:hint="eastAsia" w:ascii="仿宋_GB2312" w:hAnsi="仿宋" w:eastAsia="仿宋_GB2312" w:cs="华文楷体"/>
          <w:color w:val="000000" w:themeColor="text1"/>
          <w:sz w:val="32"/>
          <w:szCs w:val="32"/>
        </w:rPr>
        <w:t>00亿元，财政收入达</w:t>
      </w:r>
      <w:r>
        <w:rPr>
          <w:rFonts w:ascii="仿宋_GB2312" w:hAnsi="仿宋" w:eastAsia="仿宋_GB2312" w:cs="华文楷体"/>
          <w:color w:val="000000" w:themeColor="text1"/>
          <w:sz w:val="32"/>
          <w:szCs w:val="32"/>
        </w:rPr>
        <w:t>56亿元</w:t>
      </w:r>
      <w:r>
        <w:rPr>
          <w:rFonts w:hint="eastAsia" w:ascii="仿宋_GB2312" w:hAnsi="仿宋" w:eastAsia="仿宋_GB2312" w:cs="华文楷体"/>
          <w:color w:val="000000" w:themeColor="text1"/>
          <w:sz w:val="32"/>
          <w:szCs w:val="32"/>
        </w:rPr>
        <w:t>,创新能力明显增强，创新型企业集群进一步壮大，产业结构进一步优化，服务和融入双循环的能力进一步提高。</w:t>
      </w:r>
    </w:p>
    <w:p w14:paraId="4AE9561D">
      <w:pPr>
        <w:ind w:firstLine="643"/>
        <w:jc w:val="both"/>
        <w:rPr>
          <w:rFonts w:ascii="仿宋_GB2312" w:hAnsi="仿宋" w:eastAsia="仿宋_GB2312" w:cs="华文楷体"/>
          <w:b/>
          <w:bCs/>
          <w:color w:val="000000" w:themeColor="text1"/>
          <w:sz w:val="32"/>
          <w:szCs w:val="32"/>
        </w:rPr>
      </w:pPr>
      <w:r>
        <w:rPr>
          <w:rFonts w:hint="eastAsia" w:ascii="仿宋_GB2312" w:hAnsi="仿宋" w:eastAsia="仿宋_GB2312" w:cs="华文楷体"/>
          <w:b/>
          <w:bCs/>
          <w:color w:val="000000" w:themeColor="text1"/>
          <w:sz w:val="32"/>
          <w:szCs w:val="32"/>
        </w:rPr>
        <w:t>“六区”建设取得重要进展，“六大体系”基本形成。</w:t>
      </w:r>
      <w:r>
        <w:rPr>
          <w:rFonts w:hint="eastAsia" w:ascii="仿宋_GB2312" w:hAnsi="仿宋" w:eastAsia="仿宋_GB2312" w:cs="华文楷体"/>
          <w:color w:val="000000" w:themeColor="text1"/>
          <w:sz w:val="32"/>
          <w:szCs w:val="32"/>
        </w:rPr>
        <w:t>工业振兴中心区、商贸繁荣集聚区、文化传承核心区、城乡统筹示范区、智慧城市先行区、幸福宜居首善区等“六区”建设实现更高水平、更高质量发展，全面开启基本实现现代化新征程的基础更加坚实。以大健康产业为核心的制造业进入广西一流行列，重振工业雄风成效显著，</w:t>
      </w:r>
      <w:r>
        <w:rPr>
          <w:rFonts w:hint="eastAsia" w:ascii="仿宋_GB2312" w:hAnsi="仿宋" w:eastAsia="仿宋_GB2312" w:cs="华文楷体"/>
          <w:b/>
          <w:bCs/>
          <w:color w:val="000000" w:themeColor="text1"/>
          <w:sz w:val="32"/>
          <w:szCs w:val="32"/>
        </w:rPr>
        <w:t>现代工业体系基本形成。</w:t>
      </w:r>
      <w:r>
        <w:rPr>
          <w:rFonts w:hint="eastAsia" w:ascii="仿宋_GB2312" w:hAnsi="仿宋" w:eastAsia="仿宋_GB2312" w:cs="华文楷体"/>
          <w:color w:val="000000" w:themeColor="text1"/>
          <w:sz w:val="32"/>
          <w:szCs w:val="32"/>
        </w:rPr>
        <w:t>商贸功能进一步完善，轨道经济、总部经济发展迅速，成为全国全域旅游示范区，</w:t>
      </w:r>
      <w:r>
        <w:rPr>
          <w:rFonts w:hint="eastAsia" w:ascii="仿宋_GB2312" w:hAnsi="仿宋" w:eastAsia="仿宋_GB2312" w:cs="华文楷体"/>
          <w:b/>
          <w:bCs/>
          <w:color w:val="000000" w:themeColor="text1"/>
          <w:sz w:val="32"/>
          <w:szCs w:val="32"/>
        </w:rPr>
        <w:t>现代开放体系初具雏形。富有鱼峰特色的文化体系基本建立完善</w:t>
      </w:r>
      <w:r>
        <w:rPr>
          <w:rFonts w:hint="eastAsia" w:ascii="仿宋_GB2312" w:hAnsi="仿宋" w:eastAsia="仿宋_GB2312" w:cs="华文楷体"/>
          <w:color w:val="000000" w:themeColor="text1"/>
          <w:sz w:val="32"/>
          <w:szCs w:val="32"/>
        </w:rPr>
        <w:t>，文旅产业对经济的贡献大幅提升。包括新基建在内的城市基础设施水平大幅提升，农村成为美丽家园，城乡融合实现新突破，</w:t>
      </w:r>
      <w:r>
        <w:rPr>
          <w:rFonts w:hint="eastAsia" w:ascii="仿宋_GB2312" w:hAnsi="仿宋" w:eastAsia="仿宋_GB2312" w:cs="华文楷体"/>
          <w:b/>
          <w:bCs/>
          <w:color w:val="000000" w:themeColor="text1"/>
          <w:sz w:val="32"/>
          <w:szCs w:val="32"/>
        </w:rPr>
        <w:t>现代农业体系基本形成</w:t>
      </w:r>
      <w:r>
        <w:rPr>
          <w:rFonts w:hint="eastAsia" w:ascii="仿宋_GB2312" w:hAnsi="仿宋" w:eastAsia="仿宋_GB2312" w:cs="华文楷体"/>
          <w:color w:val="000000" w:themeColor="text1"/>
          <w:sz w:val="32"/>
          <w:szCs w:val="32"/>
        </w:rPr>
        <w:t>。数字产业化、产业数字化加快推进，智慧城市建设对经济发展和社会治理的支撑能力明显提高，</w:t>
      </w:r>
      <w:r>
        <w:rPr>
          <w:rFonts w:hint="eastAsia" w:ascii="仿宋_GB2312" w:hAnsi="仿宋" w:eastAsia="仿宋_GB2312" w:cs="华文楷体"/>
          <w:b/>
          <w:bCs/>
          <w:color w:val="000000" w:themeColor="text1"/>
          <w:sz w:val="32"/>
          <w:szCs w:val="32"/>
        </w:rPr>
        <w:t>现代治理体系更加完善。</w:t>
      </w:r>
      <w:r>
        <w:rPr>
          <w:rFonts w:hint="eastAsia" w:ascii="仿宋_GB2312" w:hAnsi="仿宋" w:eastAsia="仿宋_GB2312" w:cs="华文楷体"/>
          <w:color w:val="000000" w:themeColor="text1"/>
          <w:sz w:val="32"/>
          <w:szCs w:val="32"/>
        </w:rPr>
        <w:t>社会主义民主法治更加完善，社会治理水平明显提高，政府作用得到更好发挥，行政效率和公信力明显提升，营商环境显著优化，关键领域和重要领域改革取得重大进展。</w:t>
      </w:r>
    </w:p>
    <w:p w14:paraId="52AF54E9">
      <w:pPr>
        <w:ind w:firstLine="643"/>
        <w:jc w:val="both"/>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民生福祉达到新水平。</w:t>
      </w:r>
      <w:r>
        <w:rPr>
          <w:rFonts w:hint="eastAsia" w:ascii="仿宋_GB2312" w:hAnsi="仿宋" w:eastAsia="仿宋_GB2312" w:cs="华文楷体"/>
          <w:color w:val="000000" w:themeColor="text1"/>
          <w:sz w:val="32"/>
          <w:szCs w:val="32"/>
        </w:rPr>
        <w:t>实现更加充分更高质量就业，居民收入增长和经济增长基本同步，基本公共服务均等化水平明显提高，教育现代化水平、产教融合水平显著提升，多层次社会保障体系更加健全，卫生健康体系、养老体系、特色教育体系更加完善，人民群众获得感显著提升。市民文明素质和城市文明水平快速提升，民生保障水平普遍提高，基本实现公共服务均等化。</w:t>
      </w:r>
    </w:p>
    <w:p w14:paraId="49430E20">
      <w:pPr>
        <w:ind w:firstLine="643"/>
        <w:jc w:val="both"/>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生态环境得到新提升。</w:t>
      </w:r>
      <w:r>
        <w:rPr>
          <w:rFonts w:hint="eastAsia" w:ascii="仿宋_GB2312" w:hAnsi="仿宋" w:eastAsia="仿宋_GB2312" w:cs="华文楷体"/>
          <w:color w:val="000000" w:themeColor="text1"/>
          <w:sz w:val="32"/>
          <w:szCs w:val="32"/>
        </w:rPr>
        <w:t>万元地区生产总值能耗、二氧化碳排放量等重点指标明显下降，柳州市下达的节能减排任务全面完成。生态园区城区建设取得重要进展，生态文明制度体系建立健全。生产生活方式绿色转型成效显著，生态环境显著改善，城乡人居环境更加绿色宜居。</w:t>
      </w:r>
    </w:p>
    <w:p w14:paraId="262B110F">
      <w:pPr>
        <w:spacing w:beforeLines="100"/>
        <w:ind w:firstLine="560"/>
        <w:jc w:val="center"/>
        <w:rPr>
          <w:rFonts w:ascii="方正小标宋简体" w:hAnsi="黑体" w:eastAsia="方正小标宋简体" w:cs="华文楷体"/>
          <w:color w:val="000000" w:themeColor="text1"/>
          <w:sz w:val="28"/>
          <w:szCs w:val="28"/>
        </w:rPr>
      </w:pPr>
      <w:r>
        <w:rPr>
          <w:rFonts w:hint="eastAsia" w:ascii="方正小标宋简体" w:hAnsi="黑体" w:eastAsia="方正小标宋简体" w:cs="华文楷体"/>
          <w:color w:val="000000" w:themeColor="text1"/>
          <w:sz w:val="28"/>
          <w:szCs w:val="28"/>
        </w:rPr>
        <w:t>鱼峰区“十四五”国民经济与社会发展主要指标</w:t>
      </w:r>
    </w:p>
    <w:tbl>
      <w:tblPr>
        <w:tblStyle w:val="9"/>
        <w:tblW w:w="8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43"/>
        <w:gridCol w:w="1173"/>
        <w:gridCol w:w="1706"/>
        <w:gridCol w:w="1296"/>
        <w:gridCol w:w="1176"/>
        <w:gridCol w:w="936"/>
      </w:tblGrid>
      <w:tr w14:paraId="029D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09" w:type="dxa"/>
            <w:shd w:val="clear" w:color="auto" w:fill="auto"/>
            <w:noWrap/>
            <w:vAlign w:val="center"/>
          </w:tcPr>
          <w:p w14:paraId="3FD2FA8B">
            <w:pPr>
              <w:widowControl/>
              <w:spacing w:line="360" w:lineRule="auto"/>
              <w:ind w:firstLine="0" w:firstLineChars="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类别</w:t>
            </w:r>
          </w:p>
        </w:tc>
        <w:tc>
          <w:tcPr>
            <w:tcW w:w="2416" w:type="dxa"/>
            <w:gridSpan w:val="2"/>
            <w:shd w:val="clear" w:color="auto" w:fill="auto"/>
            <w:noWrap/>
            <w:vAlign w:val="center"/>
          </w:tcPr>
          <w:p w14:paraId="5D72ED33">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指标名称</w:t>
            </w:r>
          </w:p>
        </w:tc>
        <w:tc>
          <w:tcPr>
            <w:tcW w:w="1706" w:type="dxa"/>
            <w:shd w:val="clear" w:color="auto" w:fill="auto"/>
            <w:noWrap/>
            <w:vAlign w:val="center"/>
          </w:tcPr>
          <w:p w14:paraId="6D85A8F6">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单位</w:t>
            </w:r>
          </w:p>
        </w:tc>
        <w:tc>
          <w:tcPr>
            <w:tcW w:w="1296" w:type="dxa"/>
            <w:shd w:val="clear" w:color="auto" w:fill="auto"/>
            <w:noWrap/>
            <w:vAlign w:val="center"/>
          </w:tcPr>
          <w:p w14:paraId="7F70A4EE">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2025年目标值</w:t>
            </w:r>
          </w:p>
        </w:tc>
        <w:tc>
          <w:tcPr>
            <w:tcW w:w="1176" w:type="dxa"/>
            <w:shd w:val="clear" w:color="auto" w:fill="auto"/>
            <w:noWrap/>
            <w:vAlign w:val="center"/>
          </w:tcPr>
          <w:p w14:paraId="51AD59B1">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年均增长（%）</w:t>
            </w:r>
          </w:p>
        </w:tc>
        <w:tc>
          <w:tcPr>
            <w:tcW w:w="936" w:type="dxa"/>
            <w:shd w:val="clear" w:color="auto" w:fill="auto"/>
            <w:noWrap/>
            <w:vAlign w:val="center"/>
          </w:tcPr>
          <w:p w14:paraId="7EFDB2DF">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属性</w:t>
            </w:r>
          </w:p>
        </w:tc>
      </w:tr>
      <w:tr w14:paraId="0DA8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09" w:type="dxa"/>
            <w:vMerge w:val="restart"/>
            <w:shd w:val="clear" w:color="auto" w:fill="auto"/>
            <w:noWrap/>
            <w:textDirection w:val="tbRlV"/>
            <w:vAlign w:val="center"/>
          </w:tcPr>
          <w:p w14:paraId="783BA71B">
            <w:pPr>
              <w:widowControl/>
              <w:spacing w:line="360" w:lineRule="auto"/>
              <w:ind w:left="113" w:right="113"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经济发展</w:t>
            </w:r>
          </w:p>
        </w:tc>
        <w:tc>
          <w:tcPr>
            <w:tcW w:w="2416" w:type="dxa"/>
            <w:gridSpan w:val="2"/>
            <w:shd w:val="clear" w:color="auto" w:fill="auto"/>
            <w:noWrap/>
            <w:vAlign w:val="center"/>
          </w:tcPr>
          <w:p w14:paraId="2837E00C">
            <w:pPr>
              <w:widowControl/>
              <w:spacing w:line="360" w:lineRule="auto"/>
              <w:ind w:firstLine="0" w:firstLineChars="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地区生产总值</w:t>
            </w:r>
          </w:p>
        </w:tc>
        <w:tc>
          <w:tcPr>
            <w:tcW w:w="1706" w:type="dxa"/>
            <w:shd w:val="clear" w:color="auto" w:fill="auto"/>
            <w:noWrap/>
            <w:vAlign w:val="center"/>
          </w:tcPr>
          <w:p w14:paraId="5B2936A5">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亿元</w:t>
            </w:r>
          </w:p>
        </w:tc>
        <w:tc>
          <w:tcPr>
            <w:tcW w:w="1296" w:type="dxa"/>
            <w:shd w:val="clear" w:color="auto" w:fill="auto"/>
            <w:noWrap/>
            <w:vAlign w:val="center"/>
          </w:tcPr>
          <w:p w14:paraId="236549D9">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390</w:t>
            </w:r>
          </w:p>
        </w:tc>
        <w:tc>
          <w:tcPr>
            <w:tcW w:w="1176" w:type="dxa"/>
            <w:shd w:val="clear" w:color="auto" w:fill="auto"/>
            <w:noWrap/>
            <w:vAlign w:val="center"/>
          </w:tcPr>
          <w:p w14:paraId="26182D0E">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8</w:t>
            </w:r>
          </w:p>
        </w:tc>
        <w:tc>
          <w:tcPr>
            <w:tcW w:w="936" w:type="dxa"/>
            <w:shd w:val="clear" w:color="auto" w:fill="auto"/>
            <w:noWrap/>
            <w:vAlign w:val="center"/>
          </w:tcPr>
          <w:p w14:paraId="5DFC3C84">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预期性</w:t>
            </w:r>
          </w:p>
        </w:tc>
      </w:tr>
      <w:tr w14:paraId="473A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09" w:type="dxa"/>
            <w:vMerge w:val="continue"/>
            <w:vAlign w:val="center"/>
          </w:tcPr>
          <w:p w14:paraId="27A218E6">
            <w:pPr>
              <w:widowControl/>
              <w:spacing w:line="360" w:lineRule="auto"/>
              <w:ind w:firstLine="480"/>
              <w:jc w:val="center"/>
              <w:rPr>
                <w:rFonts w:hint="eastAsia" w:ascii="宋体" w:hAnsi="宋体" w:eastAsia="宋体" w:cs="宋体"/>
                <w:color w:val="000000" w:themeColor="text1"/>
                <w:kern w:val="0"/>
                <w:sz w:val="24"/>
                <w:szCs w:val="24"/>
              </w:rPr>
            </w:pPr>
          </w:p>
        </w:tc>
        <w:tc>
          <w:tcPr>
            <w:tcW w:w="2416" w:type="dxa"/>
            <w:gridSpan w:val="2"/>
            <w:shd w:val="clear" w:color="auto" w:fill="auto"/>
            <w:noWrap/>
            <w:vAlign w:val="center"/>
          </w:tcPr>
          <w:p w14:paraId="5F3D69D5">
            <w:pPr>
              <w:widowControl/>
              <w:spacing w:line="360" w:lineRule="auto"/>
              <w:ind w:firstLine="0" w:firstLineChars="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人均生产总值</w:t>
            </w:r>
          </w:p>
        </w:tc>
        <w:tc>
          <w:tcPr>
            <w:tcW w:w="1706" w:type="dxa"/>
            <w:shd w:val="clear" w:color="auto" w:fill="auto"/>
            <w:noWrap/>
            <w:vAlign w:val="center"/>
          </w:tcPr>
          <w:p w14:paraId="2130FD91">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元</w:t>
            </w:r>
          </w:p>
        </w:tc>
        <w:tc>
          <w:tcPr>
            <w:tcW w:w="1296" w:type="dxa"/>
            <w:shd w:val="clear" w:color="auto" w:fill="auto"/>
            <w:noWrap/>
            <w:vAlign w:val="center"/>
          </w:tcPr>
          <w:p w14:paraId="0A61C22E">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92000</w:t>
            </w:r>
          </w:p>
        </w:tc>
        <w:tc>
          <w:tcPr>
            <w:tcW w:w="1176" w:type="dxa"/>
            <w:shd w:val="clear" w:color="auto" w:fill="auto"/>
            <w:noWrap/>
            <w:vAlign w:val="center"/>
          </w:tcPr>
          <w:p w14:paraId="3F7DD0AC">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6.1</w:t>
            </w:r>
          </w:p>
        </w:tc>
        <w:tc>
          <w:tcPr>
            <w:tcW w:w="936" w:type="dxa"/>
            <w:shd w:val="clear" w:color="auto" w:fill="auto"/>
            <w:noWrap/>
            <w:vAlign w:val="center"/>
          </w:tcPr>
          <w:p w14:paraId="1DD95666">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预期性</w:t>
            </w:r>
          </w:p>
        </w:tc>
      </w:tr>
      <w:tr w14:paraId="0ED8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09" w:type="dxa"/>
            <w:vMerge w:val="continue"/>
            <w:vAlign w:val="center"/>
          </w:tcPr>
          <w:p w14:paraId="579E38F2">
            <w:pPr>
              <w:widowControl/>
              <w:spacing w:line="360" w:lineRule="auto"/>
              <w:ind w:firstLine="480"/>
              <w:jc w:val="center"/>
              <w:rPr>
                <w:rFonts w:hint="eastAsia" w:ascii="宋体" w:hAnsi="宋体" w:eastAsia="宋体" w:cs="宋体"/>
                <w:color w:val="000000" w:themeColor="text1"/>
                <w:kern w:val="0"/>
                <w:sz w:val="24"/>
                <w:szCs w:val="24"/>
              </w:rPr>
            </w:pPr>
          </w:p>
        </w:tc>
        <w:tc>
          <w:tcPr>
            <w:tcW w:w="2416" w:type="dxa"/>
            <w:gridSpan w:val="2"/>
            <w:shd w:val="clear" w:color="auto" w:fill="auto"/>
            <w:noWrap/>
            <w:vAlign w:val="center"/>
          </w:tcPr>
          <w:p w14:paraId="5270C36D">
            <w:pPr>
              <w:widowControl/>
              <w:spacing w:line="360" w:lineRule="auto"/>
              <w:ind w:firstLine="0" w:firstLineChars="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财政收入</w:t>
            </w:r>
          </w:p>
        </w:tc>
        <w:tc>
          <w:tcPr>
            <w:tcW w:w="1706" w:type="dxa"/>
            <w:shd w:val="clear" w:color="auto" w:fill="auto"/>
            <w:noWrap/>
            <w:vAlign w:val="center"/>
          </w:tcPr>
          <w:p w14:paraId="4AAE7946">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亿元</w:t>
            </w:r>
          </w:p>
        </w:tc>
        <w:tc>
          <w:tcPr>
            <w:tcW w:w="1296" w:type="dxa"/>
            <w:shd w:val="clear" w:color="auto" w:fill="auto"/>
            <w:noWrap/>
            <w:vAlign w:val="center"/>
          </w:tcPr>
          <w:p w14:paraId="5B714D12">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56</w:t>
            </w:r>
          </w:p>
        </w:tc>
        <w:tc>
          <w:tcPr>
            <w:tcW w:w="1176" w:type="dxa"/>
            <w:shd w:val="clear" w:color="auto" w:fill="auto"/>
            <w:noWrap/>
            <w:vAlign w:val="center"/>
          </w:tcPr>
          <w:p w14:paraId="2C90DBDF">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5.7</w:t>
            </w:r>
          </w:p>
        </w:tc>
        <w:tc>
          <w:tcPr>
            <w:tcW w:w="936" w:type="dxa"/>
            <w:shd w:val="clear" w:color="auto" w:fill="auto"/>
            <w:noWrap/>
            <w:vAlign w:val="center"/>
          </w:tcPr>
          <w:p w14:paraId="7637627E">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预期性</w:t>
            </w:r>
          </w:p>
        </w:tc>
      </w:tr>
      <w:tr w14:paraId="27BE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09" w:type="dxa"/>
            <w:vMerge w:val="continue"/>
            <w:vAlign w:val="center"/>
          </w:tcPr>
          <w:p w14:paraId="373C46EA">
            <w:pPr>
              <w:widowControl/>
              <w:spacing w:line="360" w:lineRule="auto"/>
              <w:ind w:firstLine="480"/>
              <w:jc w:val="center"/>
              <w:rPr>
                <w:rFonts w:hint="eastAsia" w:ascii="宋体" w:hAnsi="宋体" w:eastAsia="宋体" w:cs="宋体"/>
                <w:color w:val="000000" w:themeColor="text1"/>
                <w:kern w:val="0"/>
                <w:sz w:val="24"/>
                <w:szCs w:val="24"/>
              </w:rPr>
            </w:pPr>
          </w:p>
        </w:tc>
        <w:tc>
          <w:tcPr>
            <w:tcW w:w="2416" w:type="dxa"/>
            <w:gridSpan w:val="2"/>
            <w:shd w:val="clear" w:color="auto" w:fill="auto"/>
            <w:noWrap/>
            <w:vAlign w:val="center"/>
          </w:tcPr>
          <w:p w14:paraId="1DEE5AA5">
            <w:pPr>
              <w:widowControl/>
              <w:spacing w:line="360" w:lineRule="auto"/>
              <w:ind w:firstLine="0" w:firstLineChars="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工业总产值</w:t>
            </w:r>
          </w:p>
        </w:tc>
        <w:tc>
          <w:tcPr>
            <w:tcW w:w="1706" w:type="dxa"/>
            <w:shd w:val="clear" w:color="auto" w:fill="auto"/>
            <w:noWrap/>
            <w:vAlign w:val="center"/>
          </w:tcPr>
          <w:p w14:paraId="518C5C7E">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亿元</w:t>
            </w:r>
          </w:p>
        </w:tc>
        <w:tc>
          <w:tcPr>
            <w:tcW w:w="1296" w:type="dxa"/>
            <w:shd w:val="clear" w:color="auto" w:fill="auto"/>
            <w:noWrap/>
            <w:vAlign w:val="center"/>
          </w:tcPr>
          <w:p w14:paraId="1AD244FB">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300</w:t>
            </w:r>
          </w:p>
        </w:tc>
        <w:tc>
          <w:tcPr>
            <w:tcW w:w="1176" w:type="dxa"/>
            <w:shd w:val="clear" w:color="auto" w:fill="auto"/>
            <w:noWrap/>
            <w:vAlign w:val="center"/>
          </w:tcPr>
          <w:p w14:paraId="6D8DDB27">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35.3</w:t>
            </w:r>
          </w:p>
        </w:tc>
        <w:tc>
          <w:tcPr>
            <w:tcW w:w="936" w:type="dxa"/>
            <w:shd w:val="clear" w:color="auto" w:fill="auto"/>
            <w:noWrap/>
            <w:vAlign w:val="center"/>
          </w:tcPr>
          <w:p w14:paraId="0CCABEB6">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预期性</w:t>
            </w:r>
          </w:p>
        </w:tc>
      </w:tr>
      <w:tr w14:paraId="1373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09" w:type="dxa"/>
            <w:vMerge w:val="continue"/>
            <w:vAlign w:val="center"/>
          </w:tcPr>
          <w:p w14:paraId="2927E49B">
            <w:pPr>
              <w:widowControl/>
              <w:spacing w:line="360" w:lineRule="auto"/>
              <w:ind w:firstLine="480"/>
              <w:jc w:val="center"/>
              <w:rPr>
                <w:rFonts w:hint="eastAsia" w:ascii="宋体" w:hAnsi="宋体" w:eastAsia="宋体" w:cs="宋体"/>
                <w:color w:val="000000" w:themeColor="text1"/>
                <w:kern w:val="0"/>
                <w:sz w:val="24"/>
                <w:szCs w:val="24"/>
              </w:rPr>
            </w:pPr>
          </w:p>
        </w:tc>
        <w:tc>
          <w:tcPr>
            <w:tcW w:w="2416" w:type="dxa"/>
            <w:gridSpan w:val="2"/>
            <w:shd w:val="clear" w:color="auto" w:fill="auto"/>
            <w:noWrap/>
            <w:vAlign w:val="center"/>
          </w:tcPr>
          <w:p w14:paraId="6C58576B">
            <w:pPr>
              <w:widowControl/>
              <w:spacing w:line="360" w:lineRule="auto"/>
              <w:ind w:firstLine="0" w:firstLineChars="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全员劳动生产率增长</w:t>
            </w:r>
          </w:p>
        </w:tc>
        <w:tc>
          <w:tcPr>
            <w:tcW w:w="1706" w:type="dxa"/>
            <w:shd w:val="clear" w:color="auto" w:fill="auto"/>
            <w:noWrap/>
            <w:vAlign w:val="center"/>
          </w:tcPr>
          <w:p w14:paraId="7AE73F7C">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w:t>
            </w:r>
          </w:p>
        </w:tc>
        <w:tc>
          <w:tcPr>
            <w:tcW w:w="1296" w:type="dxa"/>
            <w:shd w:val="clear" w:color="auto" w:fill="auto"/>
            <w:noWrap/>
            <w:vAlign w:val="center"/>
          </w:tcPr>
          <w:p w14:paraId="259228D5">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按柳州市下达</w:t>
            </w:r>
          </w:p>
        </w:tc>
        <w:tc>
          <w:tcPr>
            <w:tcW w:w="1176" w:type="dxa"/>
            <w:shd w:val="clear" w:color="auto" w:fill="auto"/>
            <w:noWrap/>
            <w:vAlign w:val="center"/>
          </w:tcPr>
          <w:p w14:paraId="65F7A18B">
            <w:pPr>
              <w:widowControl/>
              <w:spacing w:line="360" w:lineRule="auto"/>
              <w:ind w:firstLine="0" w:firstLineChars="0"/>
              <w:jc w:val="center"/>
              <w:rPr>
                <w:rFonts w:hint="eastAsia" w:ascii="宋体" w:hAnsi="宋体" w:eastAsia="宋体" w:cs="宋体"/>
                <w:color w:val="000000" w:themeColor="text1"/>
                <w:kern w:val="0"/>
                <w:sz w:val="24"/>
                <w:szCs w:val="24"/>
              </w:rPr>
            </w:pPr>
          </w:p>
        </w:tc>
        <w:tc>
          <w:tcPr>
            <w:tcW w:w="936" w:type="dxa"/>
            <w:shd w:val="clear" w:color="auto" w:fill="auto"/>
            <w:noWrap/>
            <w:vAlign w:val="center"/>
          </w:tcPr>
          <w:p w14:paraId="2B20AC55">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预期性</w:t>
            </w:r>
          </w:p>
        </w:tc>
      </w:tr>
      <w:tr w14:paraId="7FE9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09" w:type="dxa"/>
            <w:vMerge w:val="continue"/>
            <w:vAlign w:val="center"/>
          </w:tcPr>
          <w:p w14:paraId="478484DC">
            <w:pPr>
              <w:widowControl/>
              <w:spacing w:line="360" w:lineRule="auto"/>
              <w:ind w:firstLine="480"/>
              <w:jc w:val="center"/>
              <w:rPr>
                <w:rFonts w:hint="eastAsia" w:ascii="宋体" w:hAnsi="宋体" w:eastAsia="宋体" w:cs="宋体"/>
                <w:color w:val="000000" w:themeColor="text1"/>
                <w:kern w:val="0"/>
                <w:sz w:val="24"/>
                <w:szCs w:val="24"/>
              </w:rPr>
            </w:pPr>
          </w:p>
        </w:tc>
        <w:tc>
          <w:tcPr>
            <w:tcW w:w="2416" w:type="dxa"/>
            <w:gridSpan w:val="2"/>
            <w:shd w:val="clear" w:color="auto" w:fill="auto"/>
            <w:noWrap/>
            <w:vAlign w:val="center"/>
          </w:tcPr>
          <w:p w14:paraId="33F267AB">
            <w:pPr>
              <w:widowControl/>
              <w:spacing w:line="360" w:lineRule="auto"/>
              <w:ind w:firstLine="0" w:firstLineChars="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常住人口城镇化率</w:t>
            </w:r>
          </w:p>
        </w:tc>
        <w:tc>
          <w:tcPr>
            <w:tcW w:w="1706" w:type="dxa"/>
            <w:shd w:val="clear" w:color="auto" w:fill="auto"/>
            <w:noWrap/>
            <w:vAlign w:val="center"/>
          </w:tcPr>
          <w:p w14:paraId="302C4A8A">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w:t>
            </w:r>
          </w:p>
        </w:tc>
        <w:tc>
          <w:tcPr>
            <w:tcW w:w="1296" w:type="dxa"/>
            <w:shd w:val="clear" w:color="auto" w:fill="auto"/>
            <w:noWrap/>
            <w:vAlign w:val="center"/>
          </w:tcPr>
          <w:p w14:paraId="01701361">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按柳州市下达</w:t>
            </w:r>
          </w:p>
        </w:tc>
        <w:tc>
          <w:tcPr>
            <w:tcW w:w="1176" w:type="dxa"/>
            <w:shd w:val="clear" w:color="auto" w:fill="auto"/>
            <w:noWrap/>
            <w:vAlign w:val="center"/>
          </w:tcPr>
          <w:p w14:paraId="50133BAA">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w:t>
            </w:r>
          </w:p>
        </w:tc>
        <w:tc>
          <w:tcPr>
            <w:tcW w:w="936" w:type="dxa"/>
            <w:shd w:val="clear" w:color="auto" w:fill="auto"/>
            <w:noWrap/>
            <w:vAlign w:val="center"/>
          </w:tcPr>
          <w:p w14:paraId="59872F37">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预期性</w:t>
            </w:r>
          </w:p>
        </w:tc>
      </w:tr>
      <w:tr w14:paraId="73B8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09" w:type="dxa"/>
            <w:vMerge w:val="restart"/>
            <w:shd w:val="clear" w:color="auto" w:fill="auto"/>
            <w:noWrap/>
            <w:textDirection w:val="tbRlV"/>
            <w:vAlign w:val="center"/>
          </w:tcPr>
          <w:p w14:paraId="06FC3566">
            <w:pPr>
              <w:widowControl/>
              <w:spacing w:line="360" w:lineRule="auto"/>
              <w:ind w:left="113" w:right="113"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社会民生</w:t>
            </w:r>
          </w:p>
        </w:tc>
        <w:tc>
          <w:tcPr>
            <w:tcW w:w="2416" w:type="dxa"/>
            <w:gridSpan w:val="2"/>
            <w:shd w:val="clear" w:color="auto" w:fill="auto"/>
            <w:noWrap/>
            <w:vAlign w:val="center"/>
          </w:tcPr>
          <w:p w14:paraId="5B54A5E1">
            <w:pPr>
              <w:widowControl/>
              <w:spacing w:line="360" w:lineRule="auto"/>
              <w:ind w:firstLine="0" w:firstLineChars="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居民人均可支配收入增长</w:t>
            </w:r>
          </w:p>
        </w:tc>
        <w:tc>
          <w:tcPr>
            <w:tcW w:w="1706" w:type="dxa"/>
            <w:shd w:val="clear" w:color="auto" w:fill="auto"/>
            <w:noWrap/>
            <w:vAlign w:val="center"/>
          </w:tcPr>
          <w:p w14:paraId="13EFBEEC">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w:t>
            </w:r>
          </w:p>
        </w:tc>
        <w:tc>
          <w:tcPr>
            <w:tcW w:w="1296" w:type="dxa"/>
            <w:shd w:val="clear" w:color="auto" w:fill="auto"/>
            <w:noWrap/>
            <w:vAlign w:val="center"/>
          </w:tcPr>
          <w:p w14:paraId="51433367">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6.5</w:t>
            </w:r>
          </w:p>
        </w:tc>
        <w:tc>
          <w:tcPr>
            <w:tcW w:w="1176" w:type="dxa"/>
            <w:shd w:val="clear" w:color="auto" w:fill="auto"/>
            <w:noWrap/>
            <w:vAlign w:val="center"/>
          </w:tcPr>
          <w:p w14:paraId="4B726C7D">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w:t>
            </w:r>
          </w:p>
        </w:tc>
        <w:tc>
          <w:tcPr>
            <w:tcW w:w="936" w:type="dxa"/>
            <w:shd w:val="clear" w:color="auto" w:fill="auto"/>
            <w:noWrap/>
            <w:vAlign w:val="center"/>
          </w:tcPr>
          <w:p w14:paraId="2545F12C">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预期性</w:t>
            </w:r>
          </w:p>
        </w:tc>
      </w:tr>
      <w:tr w14:paraId="3388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09" w:type="dxa"/>
            <w:vMerge w:val="continue"/>
            <w:vAlign w:val="center"/>
          </w:tcPr>
          <w:p w14:paraId="42F75211">
            <w:pPr>
              <w:widowControl/>
              <w:spacing w:line="360" w:lineRule="auto"/>
              <w:ind w:firstLine="480"/>
              <w:jc w:val="center"/>
              <w:rPr>
                <w:rFonts w:hint="eastAsia" w:ascii="宋体" w:hAnsi="宋体" w:eastAsia="宋体" w:cs="宋体"/>
                <w:color w:val="000000" w:themeColor="text1"/>
                <w:kern w:val="0"/>
                <w:sz w:val="24"/>
                <w:szCs w:val="24"/>
              </w:rPr>
            </w:pPr>
          </w:p>
        </w:tc>
        <w:tc>
          <w:tcPr>
            <w:tcW w:w="2416" w:type="dxa"/>
            <w:gridSpan w:val="2"/>
            <w:shd w:val="clear" w:color="auto" w:fill="auto"/>
            <w:noWrap/>
            <w:vAlign w:val="center"/>
          </w:tcPr>
          <w:p w14:paraId="3574A45E">
            <w:pPr>
              <w:widowControl/>
              <w:spacing w:line="360" w:lineRule="auto"/>
              <w:ind w:firstLine="0" w:firstLineChars="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城镇调查失业率</w:t>
            </w:r>
          </w:p>
        </w:tc>
        <w:tc>
          <w:tcPr>
            <w:tcW w:w="1706" w:type="dxa"/>
            <w:shd w:val="clear" w:color="auto" w:fill="auto"/>
            <w:noWrap/>
            <w:vAlign w:val="center"/>
          </w:tcPr>
          <w:p w14:paraId="3BF7F423">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w:t>
            </w:r>
          </w:p>
        </w:tc>
        <w:tc>
          <w:tcPr>
            <w:tcW w:w="1296" w:type="dxa"/>
            <w:shd w:val="clear" w:color="auto" w:fill="auto"/>
            <w:noWrap/>
            <w:vAlign w:val="center"/>
          </w:tcPr>
          <w:p w14:paraId="1749BFC9">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&lt;6.8</w:t>
            </w:r>
          </w:p>
        </w:tc>
        <w:tc>
          <w:tcPr>
            <w:tcW w:w="1176" w:type="dxa"/>
            <w:shd w:val="clear" w:color="auto" w:fill="auto"/>
            <w:noWrap/>
            <w:vAlign w:val="center"/>
          </w:tcPr>
          <w:p w14:paraId="53EDF062">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w:t>
            </w:r>
          </w:p>
        </w:tc>
        <w:tc>
          <w:tcPr>
            <w:tcW w:w="936" w:type="dxa"/>
            <w:shd w:val="clear" w:color="auto" w:fill="auto"/>
            <w:noWrap/>
            <w:vAlign w:val="center"/>
          </w:tcPr>
          <w:p w14:paraId="0237EA41">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预期性</w:t>
            </w:r>
          </w:p>
        </w:tc>
      </w:tr>
      <w:tr w14:paraId="73AD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09" w:type="dxa"/>
            <w:vMerge w:val="continue"/>
            <w:vAlign w:val="center"/>
          </w:tcPr>
          <w:p w14:paraId="0F4420F1">
            <w:pPr>
              <w:widowControl/>
              <w:spacing w:line="360" w:lineRule="auto"/>
              <w:ind w:firstLine="480"/>
              <w:jc w:val="center"/>
              <w:rPr>
                <w:rFonts w:hint="eastAsia" w:ascii="宋体" w:hAnsi="宋体" w:eastAsia="宋体" w:cs="宋体"/>
                <w:color w:val="000000" w:themeColor="text1"/>
                <w:kern w:val="0"/>
                <w:sz w:val="24"/>
                <w:szCs w:val="24"/>
              </w:rPr>
            </w:pPr>
          </w:p>
        </w:tc>
        <w:tc>
          <w:tcPr>
            <w:tcW w:w="2416" w:type="dxa"/>
            <w:gridSpan w:val="2"/>
            <w:shd w:val="clear" w:color="auto" w:fill="auto"/>
            <w:noWrap/>
            <w:vAlign w:val="center"/>
          </w:tcPr>
          <w:p w14:paraId="406CDEC5">
            <w:pPr>
              <w:widowControl/>
              <w:spacing w:line="360" w:lineRule="auto"/>
              <w:ind w:firstLine="0" w:firstLineChars="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劳动年龄人口平均受教育年限</w:t>
            </w:r>
          </w:p>
        </w:tc>
        <w:tc>
          <w:tcPr>
            <w:tcW w:w="1706" w:type="dxa"/>
            <w:shd w:val="clear" w:color="auto" w:fill="auto"/>
            <w:noWrap/>
            <w:vAlign w:val="center"/>
          </w:tcPr>
          <w:p w14:paraId="5FACF4CA">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年</w:t>
            </w:r>
          </w:p>
        </w:tc>
        <w:tc>
          <w:tcPr>
            <w:tcW w:w="1296" w:type="dxa"/>
            <w:shd w:val="clear" w:color="auto" w:fill="auto"/>
            <w:noWrap/>
            <w:vAlign w:val="center"/>
          </w:tcPr>
          <w:p w14:paraId="089D6833">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10.7</w:t>
            </w:r>
          </w:p>
        </w:tc>
        <w:tc>
          <w:tcPr>
            <w:tcW w:w="1176" w:type="dxa"/>
            <w:shd w:val="clear" w:color="auto" w:fill="auto"/>
            <w:noWrap/>
            <w:vAlign w:val="center"/>
          </w:tcPr>
          <w:p w14:paraId="7B037EC1">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w:t>
            </w:r>
          </w:p>
        </w:tc>
        <w:tc>
          <w:tcPr>
            <w:tcW w:w="936" w:type="dxa"/>
            <w:shd w:val="clear" w:color="auto" w:fill="auto"/>
            <w:noWrap/>
            <w:vAlign w:val="center"/>
          </w:tcPr>
          <w:p w14:paraId="1E8B66C7">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约束性</w:t>
            </w:r>
          </w:p>
        </w:tc>
      </w:tr>
      <w:tr w14:paraId="7C24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09" w:type="dxa"/>
            <w:vMerge w:val="continue"/>
            <w:vAlign w:val="center"/>
          </w:tcPr>
          <w:p w14:paraId="65DF1DDC">
            <w:pPr>
              <w:widowControl/>
              <w:spacing w:line="360" w:lineRule="auto"/>
              <w:ind w:firstLine="480"/>
              <w:jc w:val="center"/>
              <w:rPr>
                <w:rFonts w:hint="eastAsia" w:ascii="宋体" w:hAnsi="宋体" w:eastAsia="宋体" w:cs="宋体"/>
                <w:color w:val="000000" w:themeColor="text1"/>
                <w:kern w:val="0"/>
                <w:sz w:val="24"/>
                <w:szCs w:val="24"/>
              </w:rPr>
            </w:pPr>
          </w:p>
        </w:tc>
        <w:tc>
          <w:tcPr>
            <w:tcW w:w="2416" w:type="dxa"/>
            <w:gridSpan w:val="2"/>
            <w:shd w:val="clear" w:color="auto" w:fill="auto"/>
            <w:noWrap/>
            <w:vAlign w:val="center"/>
          </w:tcPr>
          <w:p w14:paraId="39EF4071">
            <w:pPr>
              <w:widowControl/>
              <w:spacing w:line="360" w:lineRule="auto"/>
              <w:ind w:firstLine="0" w:firstLineChars="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每千人口执业（助理）医师数</w:t>
            </w:r>
          </w:p>
        </w:tc>
        <w:tc>
          <w:tcPr>
            <w:tcW w:w="1706" w:type="dxa"/>
            <w:shd w:val="clear" w:color="auto" w:fill="auto"/>
            <w:noWrap/>
            <w:vAlign w:val="center"/>
          </w:tcPr>
          <w:p w14:paraId="7B6DFA77">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人</w:t>
            </w:r>
          </w:p>
        </w:tc>
        <w:tc>
          <w:tcPr>
            <w:tcW w:w="1296" w:type="dxa"/>
            <w:shd w:val="clear" w:color="auto" w:fill="auto"/>
            <w:noWrap/>
            <w:vAlign w:val="center"/>
          </w:tcPr>
          <w:p w14:paraId="30C7FD85">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3.3</w:t>
            </w:r>
          </w:p>
        </w:tc>
        <w:tc>
          <w:tcPr>
            <w:tcW w:w="1176" w:type="dxa"/>
            <w:shd w:val="clear" w:color="auto" w:fill="auto"/>
            <w:noWrap/>
            <w:vAlign w:val="center"/>
          </w:tcPr>
          <w:p w14:paraId="2EFC4DCA">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w:t>
            </w:r>
          </w:p>
        </w:tc>
        <w:tc>
          <w:tcPr>
            <w:tcW w:w="936" w:type="dxa"/>
            <w:shd w:val="clear" w:color="auto" w:fill="auto"/>
            <w:noWrap/>
            <w:vAlign w:val="center"/>
          </w:tcPr>
          <w:p w14:paraId="1212024C">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预期性</w:t>
            </w:r>
          </w:p>
        </w:tc>
      </w:tr>
      <w:tr w14:paraId="535F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09" w:type="dxa"/>
            <w:vMerge w:val="continue"/>
            <w:vAlign w:val="center"/>
          </w:tcPr>
          <w:p w14:paraId="471E6161">
            <w:pPr>
              <w:widowControl/>
              <w:spacing w:line="360" w:lineRule="auto"/>
              <w:ind w:firstLine="480"/>
              <w:jc w:val="center"/>
              <w:rPr>
                <w:rFonts w:hint="eastAsia" w:ascii="宋体" w:hAnsi="宋体" w:eastAsia="宋体" w:cs="宋体"/>
                <w:color w:val="000000" w:themeColor="text1"/>
                <w:kern w:val="0"/>
                <w:sz w:val="24"/>
                <w:szCs w:val="24"/>
              </w:rPr>
            </w:pPr>
          </w:p>
        </w:tc>
        <w:tc>
          <w:tcPr>
            <w:tcW w:w="2416" w:type="dxa"/>
            <w:gridSpan w:val="2"/>
            <w:shd w:val="clear" w:color="auto" w:fill="auto"/>
            <w:noWrap/>
            <w:vAlign w:val="center"/>
          </w:tcPr>
          <w:p w14:paraId="5F5460CA">
            <w:pPr>
              <w:widowControl/>
              <w:spacing w:line="360" w:lineRule="auto"/>
              <w:ind w:firstLine="0" w:firstLineChars="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基本养老保险参保率</w:t>
            </w:r>
          </w:p>
        </w:tc>
        <w:tc>
          <w:tcPr>
            <w:tcW w:w="1706" w:type="dxa"/>
            <w:shd w:val="clear" w:color="auto" w:fill="auto"/>
            <w:noWrap/>
            <w:vAlign w:val="center"/>
          </w:tcPr>
          <w:p w14:paraId="0ACBB0ED">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w:t>
            </w:r>
          </w:p>
        </w:tc>
        <w:tc>
          <w:tcPr>
            <w:tcW w:w="1296" w:type="dxa"/>
            <w:shd w:val="clear" w:color="auto" w:fill="auto"/>
            <w:noWrap/>
            <w:vAlign w:val="center"/>
          </w:tcPr>
          <w:p w14:paraId="7DBB5AB7">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95</w:t>
            </w:r>
          </w:p>
        </w:tc>
        <w:tc>
          <w:tcPr>
            <w:tcW w:w="1176" w:type="dxa"/>
            <w:shd w:val="clear" w:color="auto" w:fill="auto"/>
            <w:noWrap/>
            <w:vAlign w:val="center"/>
          </w:tcPr>
          <w:p w14:paraId="6829D541">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w:t>
            </w:r>
          </w:p>
        </w:tc>
        <w:tc>
          <w:tcPr>
            <w:tcW w:w="936" w:type="dxa"/>
            <w:shd w:val="clear" w:color="auto" w:fill="auto"/>
            <w:noWrap/>
            <w:vAlign w:val="center"/>
          </w:tcPr>
          <w:p w14:paraId="73DBC38B">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预期性</w:t>
            </w:r>
          </w:p>
        </w:tc>
      </w:tr>
      <w:tr w14:paraId="304A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09" w:type="dxa"/>
            <w:vMerge w:val="continue"/>
            <w:vAlign w:val="center"/>
          </w:tcPr>
          <w:p w14:paraId="3964D079">
            <w:pPr>
              <w:widowControl/>
              <w:spacing w:line="360" w:lineRule="auto"/>
              <w:ind w:firstLine="480"/>
              <w:jc w:val="center"/>
              <w:rPr>
                <w:rFonts w:hint="eastAsia" w:ascii="宋体" w:hAnsi="宋体" w:eastAsia="宋体" w:cs="宋体"/>
                <w:color w:val="000000" w:themeColor="text1"/>
                <w:kern w:val="0"/>
                <w:sz w:val="24"/>
                <w:szCs w:val="24"/>
              </w:rPr>
            </w:pPr>
          </w:p>
        </w:tc>
        <w:tc>
          <w:tcPr>
            <w:tcW w:w="2416" w:type="dxa"/>
            <w:gridSpan w:val="2"/>
            <w:shd w:val="clear" w:color="auto" w:fill="auto"/>
            <w:noWrap/>
            <w:vAlign w:val="center"/>
          </w:tcPr>
          <w:p w14:paraId="107C5B7F">
            <w:pPr>
              <w:widowControl/>
              <w:spacing w:line="360" w:lineRule="auto"/>
              <w:ind w:firstLine="0" w:firstLineChars="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每千人口拥有3岁以下婴幼儿托位数</w:t>
            </w:r>
          </w:p>
        </w:tc>
        <w:tc>
          <w:tcPr>
            <w:tcW w:w="1706" w:type="dxa"/>
            <w:shd w:val="clear" w:color="auto" w:fill="auto"/>
            <w:noWrap/>
            <w:vAlign w:val="center"/>
          </w:tcPr>
          <w:p w14:paraId="3C0BCD52">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个</w:t>
            </w:r>
          </w:p>
        </w:tc>
        <w:tc>
          <w:tcPr>
            <w:tcW w:w="1296" w:type="dxa"/>
            <w:shd w:val="clear" w:color="auto" w:fill="auto"/>
            <w:noWrap/>
            <w:vAlign w:val="center"/>
          </w:tcPr>
          <w:p w14:paraId="63BD6C56">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w:t>
            </w:r>
          </w:p>
        </w:tc>
        <w:tc>
          <w:tcPr>
            <w:tcW w:w="1176" w:type="dxa"/>
            <w:shd w:val="clear" w:color="auto" w:fill="auto"/>
            <w:noWrap/>
            <w:vAlign w:val="center"/>
          </w:tcPr>
          <w:p w14:paraId="5CBEC438">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w:t>
            </w:r>
          </w:p>
        </w:tc>
        <w:tc>
          <w:tcPr>
            <w:tcW w:w="936" w:type="dxa"/>
            <w:shd w:val="clear" w:color="auto" w:fill="auto"/>
            <w:noWrap/>
            <w:vAlign w:val="center"/>
          </w:tcPr>
          <w:p w14:paraId="0A6F9145">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预期性</w:t>
            </w:r>
          </w:p>
        </w:tc>
      </w:tr>
      <w:tr w14:paraId="609E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09" w:type="dxa"/>
            <w:vMerge w:val="continue"/>
            <w:vAlign w:val="center"/>
          </w:tcPr>
          <w:p w14:paraId="22A3C2E9">
            <w:pPr>
              <w:widowControl/>
              <w:spacing w:line="360" w:lineRule="auto"/>
              <w:ind w:firstLine="480"/>
              <w:jc w:val="center"/>
              <w:rPr>
                <w:rFonts w:hint="eastAsia" w:ascii="宋体" w:hAnsi="宋体" w:eastAsia="宋体" w:cs="宋体"/>
                <w:color w:val="000000" w:themeColor="text1"/>
                <w:kern w:val="0"/>
                <w:sz w:val="24"/>
                <w:szCs w:val="24"/>
              </w:rPr>
            </w:pPr>
          </w:p>
        </w:tc>
        <w:tc>
          <w:tcPr>
            <w:tcW w:w="2416" w:type="dxa"/>
            <w:gridSpan w:val="2"/>
            <w:shd w:val="clear" w:color="auto" w:fill="auto"/>
            <w:noWrap/>
            <w:vAlign w:val="center"/>
          </w:tcPr>
          <w:p w14:paraId="473EAD5F">
            <w:pPr>
              <w:widowControl/>
              <w:spacing w:line="360" w:lineRule="auto"/>
              <w:ind w:firstLine="0" w:firstLineChars="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人均预期寿命</w:t>
            </w:r>
          </w:p>
        </w:tc>
        <w:tc>
          <w:tcPr>
            <w:tcW w:w="1706" w:type="dxa"/>
            <w:shd w:val="clear" w:color="auto" w:fill="auto"/>
            <w:noWrap/>
            <w:vAlign w:val="center"/>
          </w:tcPr>
          <w:p w14:paraId="6E7243E8">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岁</w:t>
            </w:r>
          </w:p>
        </w:tc>
        <w:tc>
          <w:tcPr>
            <w:tcW w:w="1296" w:type="dxa"/>
            <w:shd w:val="clear" w:color="auto" w:fill="auto"/>
            <w:noWrap/>
            <w:vAlign w:val="center"/>
          </w:tcPr>
          <w:p w14:paraId="0124CFE2">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78.2</w:t>
            </w:r>
          </w:p>
        </w:tc>
        <w:tc>
          <w:tcPr>
            <w:tcW w:w="1176" w:type="dxa"/>
            <w:shd w:val="clear" w:color="auto" w:fill="auto"/>
            <w:noWrap/>
            <w:vAlign w:val="center"/>
          </w:tcPr>
          <w:p w14:paraId="2A482490">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w:t>
            </w:r>
          </w:p>
        </w:tc>
        <w:tc>
          <w:tcPr>
            <w:tcW w:w="936" w:type="dxa"/>
            <w:shd w:val="clear" w:color="auto" w:fill="auto"/>
            <w:noWrap/>
            <w:vAlign w:val="center"/>
          </w:tcPr>
          <w:p w14:paraId="0C8DA5FE">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预期性</w:t>
            </w:r>
          </w:p>
        </w:tc>
      </w:tr>
      <w:tr w14:paraId="0B68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09" w:type="dxa"/>
            <w:vMerge w:val="restart"/>
            <w:shd w:val="clear" w:color="auto" w:fill="auto"/>
            <w:noWrap/>
            <w:textDirection w:val="tbRlV"/>
            <w:vAlign w:val="center"/>
          </w:tcPr>
          <w:p w14:paraId="72CAF3B8">
            <w:pPr>
              <w:widowControl/>
              <w:spacing w:line="360" w:lineRule="auto"/>
              <w:ind w:left="113" w:right="113"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生态环境</w:t>
            </w:r>
          </w:p>
        </w:tc>
        <w:tc>
          <w:tcPr>
            <w:tcW w:w="2416" w:type="dxa"/>
            <w:gridSpan w:val="2"/>
            <w:shd w:val="clear" w:color="auto" w:fill="auto"/>
            <w:noWrap/>
            <w:vAlign w:val="center"/>
          </w:tcPr>
          <w:p w14:paraId="7CDFCFEE">
            <w:pPr>
              <w:widowControl/>
              <w:spacing w:line="360" w:lineRule="auto"/>
              <w:ind w:firstLine="0" w:firstLineChars="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单位地区生产总值能源消耗降低</w:t>
            </w:r>
          </w:p>
        </w:tc>
        <w:tc>
          <w:tcPr>
            <w:tcW w:w="1706" w:type="dxa"/>
            <w:shd w:val="clear" w:color="auto" w:fill="auto"/>
            <w:noWrap/>
            <w:vAlign w:val="center"/>
          </w:tcPr>
          <w:p w14:paraId="14E9F287">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w:t>
            </w:r>
          </w:p>
        </w:tc>
        <w:tc>
          <w:tcPr>
            <w:tcW w:w="1296" w:type="dxa"/>
            <w:shd w:val="clear" w:color="auto" w:fill="auto"/>
            <w:noWrap/>
            <w:vAlign w:val="center"/>
          </w:tcPr>
          <w:p w14:paraId="4060C207">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按柳州市下达</w:t>
            </w:r>
          </w:p>
        </w:tc>
        <w:tc>
          <w:tcPr>
            <w:tcW w:w="1176" w:type="dxa"/>
            <w:shd w:val="clear" w:color="auto" w:fill="auto"/>
            <w:noWrap/>
            <w:vAlign w:val="center"/>
          </w:tcPr>
          <w:p w14:paraId="0D2E4E2E">
            <w:pPr>
              <w:widowControl/>
              <w:spacing w:line="360" w:lineRule="auto"/>
              <w:ind w:firstLine="0" w:firstLineChars="0"/>
              <w:jc w:val="center"/>
              <w:rPr>
                <w:rFonts w:hint="eastAsia" w:ascii="宋体" w:hAnsi="宋体" w:eastAsia="宋体" w:cs="宋体"/>
                <w:color w:val="000000" w:themeColor="text1"/>
                <w:kern w:val="0"/>
                <w:sz w:val="24"/>
                <w:szCs w:val="24"/>
              </w:rPr>
            </w:pPr>
          </w:p>
        </w:tc>
        <w:tc>
          <w:tcPr>
            <w:tcW w:w="936" w:type="dxa"/>
            <w:shd w:val="clear" w:color="auto" w:fill="auto"/>
            <w:noWrap/>
            <w:vAlign w:val="center"/>
          </w:tcPr>
          <w:p w14:paraId="246A5D38">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约束性</w:t>
            </w:r>
          </w:p>
        </w:tc>
      </w:tr>
      <w:tr w14:paraId="6799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09" w:type="dxa"/>
            <w:vMerge w:val="continue"/>
            <w:vAlign w:val="center"/>
          </w:tcPr>
          <w:p w14:paraId="66DDE11C">
            <w:pPr>
              <w:widowControl/>
              <w:spacing w:line="360" w:lineRule="auto"/>
              <w:ind w:firstLine="480"/>
              <w:jc w:val="left"/>
              <w:rPr>
                <w:rFonts w:hint="eastAsia" w:ascii="宋体" w:hAnsi="宋体" w:eastAsia="宋体" w:cs="宋体"/>
                <w:color w:val="000000" w:themeColor="text1"/>
                <w:kern w:val="0"/>
                <w:sz w:val="24"/>
                <w:szCs w:val="24"/>
              </w:rPr>
            </w:pPr>
          </w:p>
        </w:tc>
        <w:tc>
          <w:tcPr>
            <w:tcW w:w="2416" w:type="dxa"/>
            <w:gridSpan w:val="2"/>
            <w:shd w:val="clear" w:color="auto" w:fill="auto"/>
            <w:noWrap/>
            <w:vAlign w:val="center"/>
          </w:tcPr>
          <w:p w14:paraId="04B91D47">
            <w:pPr>
              <w:widowControl/>
              <w:spacing w:line="360" w:lineRule="auto"/>
              <w:ind w:firstLine="0" w:firstLineChars="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单位地区生产总值二氧化碳排放量降低</w:t>
            </w:r>
          </w:p>
        </w:tc>
        <w:tc>
          <w:tcPr>
            <w:tcW w:w="1706" w:type="dxa"/>
            <w:shd w:val="clear" w:color="auto" w:fill="auto"/>
            <w:noWrap/>
            <w:vAlign w:val="center"/>
          </w:tcPr>
          <w:p w14:paraId="18B6B658">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w:t>
            </w:r>
          </w:p>
        </w:tc>
        <w:tc>
          <w:tcPr>
            <w:tcW w:w="1296" w:type="dxa"/>
            <w:shd w:val="clear" w:color="auto" w:fill="auto"/>
            <w:noWrap/>
            <w:vAlign w:val="center"/>
          </w:tcPr>
          <w:p w14:paraId="2F44E9BC">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按柳州市下达</w:t>
            </w:r>
          </w:p>
        </w:tc>
        <w:tc>
          <w:tcPr>
            <w:tcW w:w="1176" w:type="dxa"/>
            <w:shd w:val="clear" w:color="auto" w:fill="auto"/>
            <w:noWrap/>
            <w:vAlign w:val="center"/>
          </w:tcPr>
          <w:p w14:paraId="25B0FA39">
            <w:pPr>
              <w:widowControl/>
              <w:spacing w:line="360" w:lineRule="auto"/>
              <w:ind w:firstLine="0" w:firstLineChars="0"/>
              <w:jc w:val="center"/>
              <w:rPr>
                <w:rFonts w:hint="eastAsia" w:ascii="宋体" w:hAnsi="宋体" w:eastAsia="宋体" w:cs="宋体"/>
                <w:color w:val="000000" w:themeColor="text1"/>
                <w:kern w:val="0"/>
                <w:sz w:val="24"/>
                <w:szCs w:val="24"/>
              </w:rPr>
            </w:pPr>
          </w:p>
        </w:tc>
        <w:tc>
          <w:tcPr>
            <w:tcW w:w="936" w:type="dxa"/>
            <w:shd w:val="clear" w:color="auto" w:fill="auto"/>
            <w:noWrap/>
            <w:vAlign w:val="center"/>
          </w:tcPr>
          <w:p w14:paraId="0564D930">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约束性</w:t>
            </w:r>
          </w:p>
        </w:tc>
      </w:tr>
      <w:tr w14:paraId="1364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09" w:type="dxa"/>
            <w:vMerge w:val="continue"/>
            <w:vAlign w:val="center"/>
          </w:tcPr>
          <w:p w14:paraId="1D539880">
            <w:pPr>
              <w:widowControl/>
              <w:spacing w:line="360" w:lineRule="auto"/>
              <w:ind w:firstLine="480"/>
              <w:jc w:val="left"/>
              <w:rPr>
                <w:rFonts w:hint="eastAsia" w:ascii="宋体" w:hAnsi="宋体" w:eastAsia="宋体" w:cs="宋体"/>
                <w:color w:val="000000" w:themeColor="text1"/>
                <w:kern w:val="0"/>
                <w:sz w:val="24"/>
                <w:szCs w:val="24"/>
              </w:rPr>
            </w:pPr>
          </w:p>
        </w:tc>
        <w:tc>
          <w:tcPr>
            <w:tcW w:w="2416" w:type="dxa"/>
            <w:gridSpan w:val="2"/>
            <w:shd w:val="clear" w:color="auto" w:fill="auto"/>
            <w:noWrap/>
            <w:vAlign w:val="center"/>
          </w:tcPr>
          <w:p w14:paraId="72CB635F">
            <w:pPr>
              <w:widowControl/>
              <w:spacing w:line="360" w:lineRule="auto"/>
              <w:ind w:firstLine="0" w:firstLineChars="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地表水达到或好于Ⅲ类水体比例</w:t>
            </w:r>
          </w:p>
        </w:tc>
        <w:tc>
          <w:tcPr>
            <w:tcW w:w="1706" w:type="dxa"/>
            <w:shd w:val="clear" w:color="auto" w:fill="auto"/>
            <w:noWrap/>
            <w:vAlign w:val="center"/>
          </w:tcPr>
          <w:p w14:paraId="4485112A">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w:t>
            </w:r>
          </w:p>
        </w:tc>
        <w:tc>
          <w:tcPr>
            <w:tcW w:w="1296" w:type="dxa"/>
            <w:shd w:val="clear" w:color="auto" w:fill="auto"/>
            <w:noWrap/>
            <w:vAlign w:val="center"/>
          </w:tcPr>
          <w:p w14:paraId="2CAF52F1">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100</w:t>
            </w:r>
          </w:p>
        </w:tc>
        <w:tc>
          <w:tcPr>
            <w:tcW w:w="1176" w:type="dxa"/>
            <w:shd w:val="clear" w:color="auto" w:fill="auto"/>
            <w:noWrap/>
            <w:vAlign w:val="center"/>
          </w:tcPr>
          <w:p w14:paraId="15565635">
            <w:pPr>
              <w:widowControl/>
              <w:spacing w:line="360" w:lineRule="auto"/>
              <w:ind w:firstLine="0" w:firstLineChars="0"/>
              <w:jc w:val="center"/>
              <w:rPr>
                <w:rFonts w:hint="eastAsia" w:ascii="宋体" w:hAnsi="宋体" w:eastAsia="宋体" w:cs="宋体"/>
                <w:color w:val="000000" w:themeColor="text1"/>
                <w:kern w:val="0"/>
                <w:sz w:val="24"/>
                <w:szCs w:val="24"/>
              </w:rPr>
            </w:pPr>
          </w:p>
        </w:tc>
        <w:tc>
          <w:tcPr>
            <w:tcW w:w="936" w:type="dxa"/>
            <w:shd w:val="clear" w:color="auto" w:fill="auto"/>
            <w:noWrap/>
            <w:vAlign w:val="center"/>
          </w:tcPr>
          <w:p w14:paraId="7BEDA31E">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约束性</w:t>
            </w:r>
          </w:p>
        </w:tc>
      </w:tr>
      <w:tr w14:paraId="2C8F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09" w:type="dxa"/>
            <w:vMerge w:val="continue"/>
            <w:vAlign w:val="center"/>
          </w:tcPr>
          <w:p w14:paraId="394774FA">
            <w:pPr>
              <w:widowControl/>
              <w:spacing w:line="360" w:lineRule="auto"/>
              <w:ind w:firstLine="480"/>
              <w:jc w:val="left"/>
              <w:rPr>
                <w:rFonts w:hint="eastAsia" w:ascii="宋体" w:hAnsi="宋体" w:eastAsia="宋体" w:cs="宋体"/>
                <w:color w:val="000000" w:themeColor="text1"/>
                <w:kern w:val="0"/>
                <w:sz w:val="24"/>
                <w:szCs w:val="24"/>
              </w:rPr>
            </w:pPr>
          </w:p>
        </w:tc>
        <w:tc>
          <w:tcPr>
            <w:tcW w:w="2416" w:type="dxa"/>
            <w:gridSpan w:val="2"/>
            <w:shd w:val="clear" w:color="auto" w:fill="auto"/>
            <w:noWrap/>
            <w:vAlign w:val="center"/>
          </w:tcPr>
          <w:p w14:paraId="7EB6485A">
            <w:pPr>
              <w:widowControl/>
              <w:spacing w:line="360" w:lineRule="auto"/>
              <w:ind w:firstLine="0" w:firstLineChars="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森林覆盖率</w:t>
            </w:r>
          </w:p>
        </w:tc>
        <w:tc>
          <w:tcPr>
            <w:tcW w:w="1706" w:type="dxa"/>
            <w:shd w:val="clear" w:color="auto" w:fill="auto"/>
            <w:noWrap/>
            <w:vAlign w:val="center"/>
          </w:tcPr>
          <w:p w14:paraId="0B4371A6">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w:t>
            </w:r>
          </w:p>
        </w:tc>
        <w:tc>
          <w:tcPr>
            <w:tcW w:w="1296" w:type="dxa"/>
            <w:shd w:val="clear" w:color="auto" w:fill="auto"/>
            <w:noWrap/>
            <w:vAlign w:val="center"/>
          </w:tcPr>
          <w:p w14:paraId="6BC48AAE">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≥66</w:t>
            </w:r>
          </w:p>
        </w:tc>
        <w:tc>
          <w:tcPr>
            <w:tcW w:w="1176" w:type="dxa"/>
            <w:shd w:val="clear" w:color="auto" w:fill="auto"/>
            <w:noWrap/>
            <w:vAlign w:val="center"/>
          </w:tcPr>
          <w:p w14:paraId="1490D6E6">
            <w:pPr>
              <w:widowControl/>
              <w:spacing w:line="360" w:lineRule="auto"/>
              <w:ind w:firstLine="0" w:firstLineChars="0"/>
              <w:jc w:val="center"/>
              <w:rPr>
                <w:rFonts w:hint="eastAsia" w:ascii="宋体" w:hAnsi="宋体" w:eastAsia="宋体" w:cs="宋体"/>
                <w:color w:val="000000" w:themeColor="text1"/>
                <w:kern w:val="0"/>
                <w:sz w:val="24"/>
                <w:szCs w:val="24"/>
              </w:rPr>
            </w:pPr>
          </w:p>
        </w:tc>
        <w:tc>
          <w:tcPr>
            <w:tcW w:w="936" w:type="dxa"/>
            <w:shd w:val="clear" w:color="auto" w:fill="auto"/>
            <w:noWrap/>
            <w:vAlign w:val="center"/>
          </w:tcPr>
          <w:p w14:paraId="6F81771D">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约束性</w:t>
            </w:r>
          </w:p>
        </w:tc>
      </w:tr>
      <w:tr w14:paraId="1924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09" w:type="dxa"/>
            <w:vMerge w:val="continue"/>
            <w:vAlign w:val="center"/>
          </w:tcPr>
          <w:p w14:paraId="035953DB">
            <w:pPr>
              <w:widowControl/>
              <w:spacing w:line="360" w:lineRule="auto"/>
              <w:ind w:firstLine="480"/>
              <w:jc w:val="left"/>
              <w:rPr>
                <w:rFonts w:hint="eastAsia" w:ascii="宋体" w:hAnsi="宋体" w:eastAsia="宋体" w:cs="宋体"/>
                <w:color w:val="000000" w:themeColor="text1"/>
                <w:kern w:val="0"/>
                <w:sz w:val="24"/>
                <w:szCs w:val="24"/>
              </w:rPr>
            </w:pPr>
          </w:p>
        </w:tc>
        <w:tc>
          <w:tcPr>
            <w:tcW w:w="1243" w:type="dxa"/>
            <w:vMerge w:val="restart"/>
            <w:shd w:val="clear" w:color="auto" w:fill="auto"/>
            <w:noWrap/>
            <w:vAlign w:val="center"/>
          </w:tcPr>
          <w:p w14:paraId="2DBA681B">
            <w:pPr>
              <w:widowControl/>
              <w:spacing w:line="360" w:lineRule="auto"/>
              <w:ind w:firstLine="0" w:firstLineChars="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空气质量</w:t>
            </w:r>
          </w:p>
        </w:tc>
        <w:tc>
          <w:tcPr>
            <w:tcW w:w="1173" w:type="dxa"/>
            <w:shd w:val="clear" w:color="auto" w:fill="auto"/>
            <w:noWrap/>
            <w:vAlign w:val="center"/>
          </w:tcPr>
          <w:p w14:paraId="60DA6B79">
            <w:pPr>
              <w:widowControl/>
              <w:spacing w:line="360" w:lineRule="auto"/>
              <w:ind w:firstLine="0" w:firstLineChars="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PM2.5年平均浓度</w:t>
            </w:r>
          </w:p>
        </w:tc>
        <w:tc>
          <w:tcPr>
            <w:tcW w:w="1706" w:type="dxa"/>
            <w:shd w:val="clear" w:color="auto" w:fill="auto"/>
            <w:noWrap/>
            <w:vAlign w:val="center"/>
          </w:tcPr>
          <w:p w14:paraId="6837C31F">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μg/m3</w:t>
            </w:r>
          </w:p>
        </w:tc>
        <w:tc>
          <w:tcPr>
            <w:tcW w:w="1296" w:type="dxa"/>
            <w:vMerge w:val="restart"/>
            <w:shd w:val="clear" w:color="auto" w:fill="auto"/>
            <w:noWrap/>
            <w:vAlign w:val="center"/>
          </w:tcPr>
          <w:p w14:paraId="10653EE5">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按柳州市下达</w:t>
            </w:r>
          </w:p>
        </w:tc>
        <w:tc>
          <w:tcPr>
            <w:tcW w:w="1176" w:type="dxa"/>
            <w:shd w:val="clear" w:color="auto" w:fill="auto"/>
            <w:noWrap/>
            <w:vAlign w:val="center"/>
          </w:tcPr>
          <w:p w14:paraId="6F8B68FA">
            <w:pPr>
              <w:widowControl/>
              <w:spacing w:line="360" w:lineRule="auto"/>
              <w:ind w:firstLine="0" w:firstLineChars="0"/>
              <w:jc w:val="center"/>
              <w:rPr>
                <w:rFonts w:hint="eastAsia" w:ascii="宋体" w:hAnsi="宋体" w:eastAsia="宋体" w:cs="宋体"/>
                <w:color w:val="000000" w:themeColor="text1"/>
                <w:kern w:val="0"/>
                <w:sz w:val="24"/>
                <w:szCs w:val="24"/>
              </w:rPr>
            </w:pPr>
          </w:p>
        </w:tc>
        <w:tc>
          <w:tcPr>
            <w:tcW w:w="936" w:type="dxa"/>
            <w:vMerge w:val="restart"/>
            <w:shd w:val="clear" w:color="auto" w:fill="auto"/>
            <w:noWrap/>
            <w:vAlign w:val="center"/>
          </w:tcPr>
          <w:p w14:paraId="1A771C29">
            <w:pPr>
              <w:widowControl/>
              <w:spacing w:line="360" w:lineRule="auto"/>
              <w:ind w:firstLine="0" w:firstLineChars="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约束性</w:t>
            </w:r>
          </w:p>
        </w:tc>
      </w:tr>
      <w:tr w14:paraId="7C44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09" w:type="dxa"/>
            <w:vMerge w:val="continue"/>
            <w:vAlign w:val="center"/>
          </w:tcPr>
          <w:p w14:paraId="57110C6D">
            <w:pPr>
              <w:widowControl/>
              <w:spacing w:line="360" w:lineRule="auto"/>
              <w:ind w:firstLine="480"/>
              <w:jc w:val="left"/>
              <w:rPr>
                <w:rFonts w:hint="eastAsia" w:ascii="宋体" w:hAnsi="宋体" w:eastAsia="宋体" w:cs="宋体"/>
                <w:color w:val="000000" w:themeColor="text1"/>
                <w:kern w:val="0"/>
                <w:sz w:val="24"/>
                <w:szCs w:val="24"/>
              </w:rPr>
            </w:pPr>
          </w:p>
        </w:tc>
        <w:tc>
          <w:tcPr>
            <w:tcW w:w="1243" w:type="dxa"/>
            <w:vMerge w:val="continue"/>
            <w:vAlign w:val="center"/>
          </w:tcPr>
          <w:p w14:paraId="0556CF86">
            <w:pPr>
              <w:widowControl/>
              <w:spacing w:line="360" w:lineRule="auto"/>
              <w:ind w:firstLine="480"/>
              <w:jc w:val="left"/>
              <w:rPr>
                <w:rFonts w:hint="eastAsia" w:ascii="宋体" w:hAnsi="宋体" w:eastAsia="宋体" w:cs="宋体"/>
                <w:color w:val="000000" w:themeColor="text1"/>
                <w:kern w:val="0"/>
                <w:sz w:val="24"/>
                <w:szCs w:val="24"/>
              </w:rPr>
            </w:pPr>
          </w:p>
        </w:tc>
        <w:tc>
          <w:tcPr>
            <w:tcW w:w="1173" w:type="dxa"/>
            <w:shd w:val="clear" w:color="auto" w:fill="auto"/>
            <w:noWrap/>
            <w:vAlign w:val="center"/>
          </w:tcPr>
          <w:p w14:paraId="348F645B">
            <w:pPr>
              <w:widowControl/>
              <w:spacing w:line="360" w:lineRule="auto"/>
              <w:ind w:firstLine="0" w:firstLineChars="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空气质量优良天数比例</w:t>
            </w:r>
          </w:p>
        </w:tc>
        <w:tc>
          <w:tcPr>
            <w:tcW w:w="1706" w:type="dxa"/>
            <w:shd w:val="clear" w:color="auto" w:fill="auto"/>
            <w:noWrap/>
            <w:vAlign w:val="center"/>
          </w:tcPr>
          <w:p w14:paraId="48858F83">
            <w:pPr>
              <w:widowControl/>
              <w:spacing w:line="360" w:lineRule="auto"/>
              <w:ind w:firstLine="0" w:firstLineChars="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w:t>
            </w:r>
          </w:p>
        </w:tc>
        <w:tc>
          <w:tcPr>
            <w:tcW w:w="1296" w:type="dxa"/>
            <w:vMerge w:val="continue"/>
            <w:shd w:val="clear" w:color="auto" w:fill="auto"/>
            <w:noWrap/>
            <w:vAlign w:val="center"/>
          </w:tcPr>
          <w:p w14:paraId="71A909E6">
            <w:pPr>
              <w:widowControl/>
              <w:spacing w:line="360" w:lineRule="auto"/>
              <w:ind w:firstLine="480"/>
              <w:rPr>
                <w:rFonts w:hint="eastAsia" w:ascii="宋体" w:hAnsi="宋体" w:eastAsia="宋体" w:cs="宋体"/>
                <w:color w:val="000000" w:themeColor="text1"/>
                <w:kern w:val="0"/>
                <w:sz w:val="24"/>
                <w:szCs w:val="24"/>
              </w:rPr>
            </w:pPr>
          </w:p>
        </w:tc>
        <w:tc>
          <w:tcPr>
            <w:tcW w:w="1176" w:type="dxa"/>
            <w:shd w:val="clear" w:color="auto" w:fill="auto"/>
            <w:noWrap/>
            <w:vAlign w:val="center"/>
          </w:tcPr>
          <w:p w14:paraId="0D16A7EC">
            <w:pPr>
              <w:widowControl/>
              <w:spacing w:line="360" w:lineRule="auto"/>
              <w:ind w:firstLine="0" w:firstLineChars="0"/>
              <w:jc w:val="left"/>
              <w:rPr>
                <w:rFonts w:hint="eastAsia" w:ascii="宋体" w:hAnsi="宋体" w:eastAsia="宋体" w:cs="宋体"/>
                <w:color w:val="000000" w:themeColor="text1"/>
                <w:kern w:val="0"/>
                <w:sz w:val="24"/>
                <w:szCs w:val="24"/>
              </w:rPr>
            </w:pPr>
          </w:p>
        </w:tc>
        <w:tc>
          <w:tcPr>
            <w:tcW w:w="936" w:type="dxa"/>
            <w:vMerge w:val="continue"/>
            <w:vAlign w:val="center"/>
          </w:tcPr>
          <w:p w14:paraId="5B18AF55">
            <w:pPr>
              <w:widowControl/>
              <w:spacing w:line="360" w:lineRule="auto"/>
              <w:ind w:firstLine="480"/>
              <w:jc w:val="left"/>
              <w:rPr>
                <w:rFonts w:hint="eastAsia" w:ascii="宋体" w:hAnsi="宋体" w:eastAsia="宋体" w:cs="宋体"/>
                <w:color w:val="000000" w:themeColor="text1"/>
                <w:kern w:val="0"/>
                <w:sz w:val="24"/>
                <w:szCs w:val="24"/>
              </w:rPr>
            </w:pPr>
          </w:p>
        </w:tc>
      </w:tr>
    </w:tbl>
    <w:p w14:paraId="79D1D57F">
      <w:pPr>
        <w:ind w:firstLine="560"/>
        <w:jc w:val="center"/>
        <w:rPr>
          <w:rFonts w:ascii="方正小标宋简体" w:hAnsi="黑体" w:eastAsia="方正小标宋简体" w:cs="华文楷体"/>
          <w:color w:val="000000" w:themeColor="text1"/>
          <w:sz w:val="28"/>
          <w:szCs w:val="28"/>
        </w:rPr>
      </w:pPr>
    </w:p>
    <w:p w14:paraId="52DE360D">
      <w:pPr>
        <w:pStyle w:val="2"/>
        <w:ind w:firstLine="720"/>
        <w:rPr>
          <w:rFonts w:ascii="黑体" w:hAnsi="黑体" w:eastAsia="黑体"/>
          <w:b w:val="0"/>
          <w:color w:val="000000" w:themeColor="text1"/>
          <w:sz w:val="36"/>
          <w:szCs w:val="36"/>
        </w:rPr>
      </w:pPr>
      <w:bookmarkStart w:id="25" w:name="_Toc71816239"/>
      <w:bookmarkStart w:id="26" w:name="_Toc15434"/>
      <w:r>
        <w:rPr>
          <w:rFonts w:hint="eastAsia" w:ascii="黑体" w:hAnsi="黑体" w:eastAsia="黑体"/>
          <w:b w:val="0"/>
          <w:color w:val="000000" w:themeColor="text1"/>
          <w:sz w:val="36"/>
          <w:szCs w:val="36"/>
        </w:rPr>
        <w:t>第三章 工业振兴，高质量建设工业振兴中心区</w:t>
      </w:r>
      <w:bookmarkEnd w:id="25"/>
      <w:bookmarkEnd w:id="26"/>
    </w:p>
    <w:p w14:paraId="3271E86C">
      <w:pPr>
        <w:ind w:firstLine="640"/>
        <w:rPr>
          <w:rFonts w:ascii="仿宋_GB2312" w:hAnsi="仿宋" w:eastAsia="仿宋_GB2312" w:cs="仿宋"/>
          <w:color w:val="000000" w:themeColor="text1"/>
          <w:sz w:val="32"/>
          <w:szCs w:val="32"/>
        </w:rPr>
      </w:pPr>
      <w:bookmarkStart w:id="27" w:name="_Toc12065"/>
      <w:r>
        <w:rPr>
          <w:rFonts w:hint="eastAsia" w:ascii="仿宋_GB2312" w:hAnsi="仿宋" w:eastAsia="仿宋_GB2312" w:cs="仿宋"/>
          <w:color w:val="000000" w:themeColor="text1"/>
          <w:sz w:val="32"/>
          <w:szCs w:val="32"/>
        </w:rPr>
        <w:t>坚持以深化供给侧结构性改革为主线，立足我区工业产业基础，打造形成以健康食品、生物医药、医疗器械康复器具“三个百亿”大健康产业为主导的现代工业体系，高质量全面推进鱼峰工业振兴中心区建设，为构建现代工业体系夯实基础。</w:t>
      </w:r>
    </w:p>
    <w:p w14:paraId="64331C78">
      <w:pPr>
        <w:pStyle w:val="3"/>
        <w:ind w:firstLine="643"/>
        <w:jc w:val="center"/>
        <w:rPr>
          <w:rFonts w:ascii="楷体_GB2312" w:eastAsia="楷体_GB2312"/>
          <w:color w:val="000000" w:themeColor="text1"/>
        </w:rPr>
      </w:pPr>
      <w:bookmarkStart w:id="28" w:name="_Toc71816240"/>
      <w:r>
        <w:rPr>
          <w:rFonts w:hint="eastAsia" w:ascii="楷体_GB2312" w:eastAsia="楷体_GB2312"/>
          <w:color w:val="000000" w:themeColor="text1"/>
        </w:rPr>
        <w:t>第一节  打造“三个百亿”大健康产业，构建现代工业体系</w:t>
      </w:r>
      <w:bookmarkEnd w:id="28"/>
    </w:p>
    <w:p w14:paraId="4F517B95">
      <w:pPr>
        <w:ind w:firstLine="640"/>
        <w:jc w:val="both"/>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围绕“强龙头、补链条、聚集群，抓创新、创品牌、拓市场”，推进产业链与创新链深度融合，促进各类生产要素协同互动，推动大健康产业高质量发展。到2025年，食品、生物医药以及医疗器械康复器具产业规上工业总产值均突破100亿元，全部工业总产值达到500亿元左右，占GDP比重提升至55%。</w:t>
      </w:r>
    </w:p>
    <w:p w14:paraId="11A488A7">
      <w:pPr>
        <w:ind w:firstLine="643"/>
        <w:jc w:val="both"/>
        <w:rPr>
          <w:rFonts w:ascii="仿宋_GB2312" w:hAnsi="仿宋" w:eastAsia="仿宋_GB2312" w:cs="仿宋"/>
          <w:color w:val="000000" w:themeColor="text1"/>
          <w:sz w:val="32"/>
          <w:szCs w:val="32"/>
        </w:rPr>
      </w:pPr>
      <w:r>
        <w:rPr>
          <w:rFonts w:hint="eastAsia" w:ascii="仿宋_GB2312" w:hAnsi="仿宋" w:eastAsia="仿宋_GB2312" w:cs="华文楷体"/>
          <w:b/>
          <w:bCs/>
          <w:color w:val="000000" w:themeColor="text1"/>
          <w:sz w:val="32"/>
          <w:szCs w:val="32"/>
        </w:rPr>
        <w:t>稳步发展健康食品产业。</w:t>
      </w:r>
      <w:r>
        <w:rPr>
          <w:rFonts w:hint="eastAsia" w:ascii="仿宋_GB2312" w:hAnsi="仿宋" w:eastAsia="仿宋_GB2312"/>
          <w:color w:val="000000" w:themeColor="text1"/>
          <w:sz w:val="32"/>
          <w:szCs w:val="32"/>
        </w:rPr>
        <w:t>加快推进中国东盟（柳州）旅游食品产业园的建设，打造多层次、多元化大健康食品产业集群。重点培育年产值超10亿元的螺蛳粉企业。强化技术研发，推进螺蛳粉产业标准化、规范化、集约化发展。重点支持螺蛳粉品牌化标准化体系建设。推动建立文化创意众创空间、产业孵化器、产业技术研究院等螺蛳粉产业服务平台。</w:t>
      </w:r>
      <w:r>
        <w:rPr>
          <w:rFonts w:hint="eastAsia" w:ascii="仿宋_GB2312" w:hAnsi="仿宋" w:eastAsia="仿宋_GB2312" w:cs="仿宋"/>
          <w:color w:val="000000" w:themeColor="text1"/>
          <w:sz w:val="32"/>
          <w:szCs w:val="32"/>
        </w:rPr>
        <w:t>按照全产业链思维，把螺蛳粉作为“接二连三”的主要载体，着力延伸柳州螺蛳粉产业链，大力推进螺蛳粉原料加工基地（白沙酸厂）等“延链”、“补链”项目建设，实现企业规模、食品安全、产业研发、旅游观光等全方位升级。</w:t>
      </w:r>
    </w:p>
    <w:p w14:paraId="0FD74243">
      <w:pPr>
        <w:ind w:firstLine="643"/>
        <w:jc w:val="both"/>
        <w:rPr>
          <w:rFonts w:ascii="仿宋_GB2312" w:hAnsi="仿宋" w:eastAsia="仿宋_GB2312" w:cs="仿宋"/>
          <w:b/>
          <w:bCs/>
          <w:color w:val="000000" w:themeColor="text1"/>
          <w:sz w:val="32"/>
          <w:szCs w:val="32"/>
        </w:rPr>
      </w:pPr>
      <w:r>
        <w:rPr>
          <w:rFonts w:hint="eastAsia" w:ascii="仿宋_GB2312" w:hAnsi="仿宋" w:eastAsia="仿宋_GB2312" w:cs="仿宋"/>
          <w:b/>
          <w:bCs/>
          <w:color w:val="000000" w:themeColor="text1"/>
          <w:sz w:val="32"/>
          <w:szCs w:val="32"/>
        </w:rPr>
        <w:t>加快发展生物医药产业。</w:t>
      </w:r>
      <w:r>
        <w:rPr>
          <w:rFonts w:hint="eastAsia" w:ascii="仿宋_GB2312" w:hAnsi="仿宋" w:eastAsia="仿宋_GB2312" w:cs="仿宋"/>
          <w:color w:val="000000" w:themeColor="text1"/>
          <w:sz w:val="32"/>
          <w:szCs w:val="32"/>
        </w:rPr>
        <w:t>重点推进金嗓子、柳州医药、馨海药业、岭南中药等一批行业领军企业项目建成投产，加快岭南制药、清华大学广西特色健康生物产业技术研究院等项目对接落地，创新药物与高效节能降耗制药设备重点实验室柳州研究基地在园区挂牌。引导领军企业与国内科研院校共建研发中心、成果转化基地，提升产品及企业竞争力。推动大小企业形成产业联盟。加快建设柳州市生物医药产业核心区。</w:t>
      </w:r>
    </w:p>
    <w:p w14:paraId="5A63EFDE">
      <w:pPr>
        <w:ind w:firstLine="643"/>
        <w:jc w:val="both"/>
        <w:rPr>
          <w:rFonts w:ascii="仿宋_GB2312" w:hAnsi="仿宋" w:eastAsia="仿宋_GB2312" w:cs="仿宋"/>
          <w:color w:val="000000" w:themeColor="text1"/>
          <w:sz w:val="32"/>
          <w:szCs w:val="32"/>
        </w:rPr>
      </w:pPr>
      <w:r>
        <w:rPr>
          <w:rFonts w:hint="eastAsia" w:ascii="仿宋_GB2312" w:hAnsi="仿宋" w:eastAsia="仿宋_GB2312" w:cs="仿宋"/>
          <w:b/>
          <w:bCs/>
          <w:color w:val="000000" w:themeColor="text1"/>
          <w:sz w:val="32"/>
          <w:szCs w:val="32"/>
        </w:rPr>
        <w:t>培育发展医疗器械康复器具产业。</w:t>
      </w:r>
      <w:r>
        <w:rPr>
          <w:rFonts w:hint="eastAsia" w:ascii="仿宋_GB2312" w:hAnsi="仿宋" w:eastAsia="仿宋_GB2312" w:cs="仿宋"/>
          <w:color w:val="000000" w:themeColor="text1"/>
          <w:sz w:val="32"/>
          <w:szCs w:val="32"/>
        </w:rPr>
        <w:t>加快推动北京美尔斯通、佛山顺康达等项目落地。加大招商力度，以“三企入桂”为契机，精准承接粤港澳大湾区、长三角医疗器械、康复辅助器具产业转移。积极引导汽车配件等传统企业转型为医疗器械及康复器具配套企业。推动产学研合作，引育一批医疗器械康复器具产业创新主体。</w:t>
      </w:r>
    </w:p>
    <w:p w14:paraId="76CBF071">
      <w:pPr>
        <w:pStyle w:val="3"/>
        <w:spacing w:line="480" w:lineRule="auto"/>
        <w:ind w:firstLine="643"/>
        <w:jc w:val="center"/>
        <w:rPr>
          <w:rFonts w:ascii="楷体_GB2312" w:eastAsia="楷体_GB2312"/>
          <w:color w:val="000000" w:themeColor="text1"/>
        </w:rPr>
      </w:pPr>
      <w:bookmarkStart w:id="29" w:name="_Toc71816241"/>
      <w:r>
        <w:rPr>
          <w:rFonts w:hint="eastAsia" w:ascii="楷体_GB2312" w:eastAsia="楷体_GB2312"/>
          <w:color w:val="000000" w:themeColor="text1"/>
        </w:rPr>
        <w:t>第二节 优化工业布局 重点向南发展</w:t>
      </w:r>
      <w:bookmarkEnd w:id="29"/>
    </w:p>
    <w:p w14:paraId="57BB3A71">
      <w:pPr>
        <w:ind w:firstLine="640"/>
        <w:jc w:val="both"/>
        <w:rPr>
          <w:rFonts w:ascii="仿宋_GB2312" w:hAnsi="仿宋" w:eastAsia="仿宋_GB2312" w:cs="华文楷体"/>
          <w:color w:val="000000" w:themeColor="text1"/>
          <w:sz w:val="32"/>
          <w:szCs w:val="32"/>
        </w:rPr>
      </w:pPr>
      <w:r>
        <w:rPr>
          <w:rFonts w:hint="eastAsia" w:ascii="仿宋_GB2312" w:hAnsi="仿宋" w:eastAsia="仿宋_GB2312" w:cs="华文楷体"/>
          <w:color w:val="000000" w:themeColor="text1"/>
          <w:sz w:val="32"/>
          <w:szCs w:val="32"/>
        </w:rPr>
        <w:t>打造以南片区发展为统领，洛维工业园与河表片区、静脉产业园、里雍镇连片联动发展的新格局。推进产城融合，提升园区生活和景观配套设施，推动园区经济高质量发展。</w:t>
      </w:r>
    </w:p>
    <w:p w14:paraId="777F9712">
      <w:pPr>
        <w:ind w:firstLine="643"/>
        <w:jc w:val="both"/>
        <w:rPr>
          <w:rFonts w:ascii="仿宋_GB2312" w:hAnsi="仿宋" w:eastAsia="仿宋_GB2312" w:cs="仿宋"/>
          <w:color w:val="000000" w:themeColor="text1"/>
          <w:sz w:val="32"/>
          <w:szCs w:val="32"/>
        </w:rPr>
      </w:pPr>
      <w:r>
        <w:rPr>
          <w:rFonts w:hint="eastAsia" w:ascii="仿宋_GB2312" w:hAnsi="仿宋" w:eastAsia="仿宋_GB2312" w:cs="华文楷体"/>
          <w:b/>
          <w:bCs/>
          <w:color w:val="000000" w:themeColor="text1"/>
          <w:sz w:val="32"/>
          <w:szCs w:val="32"/>
        </w:rPr>
        <w:t>稳步推进洛维工业园特色发展。</w:t>
      </w:r>
      <w:r>
        <w:rPr>
          <w:rFonts w:hint="eastAsia" w:ascii="仿宋_GB2312" w:hAnsi="仿宋" w:eastAsia="仿宋_GB2312" w:cs="华文楷体"/>
          <w:color w:val="000000" w:themeColor="text1"/>
          <w:sz w:val="32"/>
          <w:szCs w:val="32"/>
        </w:rPr>
        <w:t>以洛维工业园区为“健康食品制造核心”，沿柳石路打造“医疗服务核心区”“健康养护服务区”“健康文化旅游集聚区”，在里雍、白沙两镇打造“中医药康养城”、“大健康产业种养基地”，统筹构建大健康产业先行区。推动洛维工业园区现有非健康类企业逐步</w:t>
      </w:r>
      <w:r>
        <w:rPr>
          <w:rFonts w:hint="eastAsia" w:ascii="仿宋_GB2312" w:hAnsi="仿宋" w:eastAsia="仿宋_GB2312" w:cs="仿宋"/>
          <w:color w:val="000000" w:themeColor="text1"/>
          <w:sz w:val="32"/>
          <w:szCs w:val="32"/>
        </w:rPr>
        <w:t>转型升级为大健康类产业园区，建立食品、保健品加工、医疗器械康复器具生产型的专业园区。</w:t>
      </w:r>
    </w:p>
    <w:p w14:paraId="0813325D">
      <w:pPr>
        <w:ind w:firstLine="643"/>
        <w:jc w:val="both"/>
        <w:rPr>
          <w:rFonts w:ascii="仿宋_GB2312" w:hAnsi="仿宋" w:eastAsia="仿宋_GB2312" w:cs="仿宋"/>
          <w:color w:val="000000" w:themeColor="text1"/>
          <w:sz w:val="32"/>
          <w:szCs w:val="32"/>
        </w:rPr>
      </w:pPr>
      <w:r>
        <w:rPr>
          <w:rFonts w:hint="eastAsia" w:ascii="仿宋_GB2312" w:hAnsi="仿宋" w:eastAsia="仿宋_GB2312" w:cs="仿宋"/>
          <w:b/>
          <w:bCs/>
          <w:color w:val="000000" w:themeColor="text1"/>
          <w:sz w:val="32"/>
          <w:szCs w:val="32"/>
        </w:rPr>
        <w:t>加快推进广实工业园建设。</w:t>
      </w:r>
      <w:r>
        <w:rPr>
          <w:rFonts w:hint="eastAsia" w:ascii="仿宋_GB2312" w:hAnsi="仿宋" w:eastAsia="仿宋_GB2312" w:cs="仿宋"/>
          <w:color w:val="000000" w:themeColor="text1"/>
          <w:sz w:val="32"/>
          <w:szCs w:val="32"/>
        </w:rPr>
        <w:t>积极筹建第二工业园区，加快打造里雍镇“百亿工业强镇”，扩展工业发展新空间。全方位打造柳州市大健康产业拓展区、服装生产基地、机械加工、钢结构产业园等传统产业转型升级综合聚集区，局部规划仓储物流、居住</w:t>
      </w:r>
      <w:r>
        <w:rPr>
          <w:rFonts w:hint="eastAsia" w:ascii="仿宋_GB2312" w:eastAsia="仿宋_GB2312"/>
          <w:color w:val="000000" w:themeColor="text1"/>
          <w:sz w:val="32"/>
          <w:szCs w:val="32"/>
        </w:rPr>
        <w:t>商业</w:t>
      </w:r>
      <w:r>
        <w:rPr>
          <w:rFonts w:hint="eastAsia" w:ascii="仿宋_GB2312" w:hAnsi="仿宋" w:eastAsia="仿宋_GB2312" w:cs="仿宋"/>
          <w:color w:val="000000" w:themeColor="text1"/>
          <w:sz w:val="32"/>
          <w:szCs w:val="32"/>
        </w:rPr>
        <w:t>等综合配套服务区，实现对以洛维工业集中区为核心的健康制造核心区的产业衔接和补充功能，保证“退城进郊”传统产业持续健康集聚发展。</w:t>
      </w:r>
    </w:p>
    <w:p w14:paraId="71B584F6">
      <w:pPr>
        <w:pStyle w:val="3"/>
        <w:ind w:firstLine="643"/>
        <w:jc w:val="center"/>
        <w:rPr>
          <w:rFonts w:ascii="楷体_GB2312" w:eastAsia="楷体_GB2312"/>
          <w:color w:val="000000" w:themeColor="text1"/>
        </w:rPr>
      </w:pPr>
      <w:bookmarkStart w:id="30" w:name="_Toc71816242"/>
      <w:r>
        <w:rPr>
          <w:rFonts w:hint="eastAsia" w:ascii="楷体_GB2312" w:eastAsia="楷体_GB2312"/>
          <w:color w:val="000000" w:themeColor="text1"/>
        </w:rPr>
        <w:t>第三节 深化“两业”融合，加强平台建设</w:t>
      </w:r>
      <w:bookmarkEnd w:id="30"/>
    </w:p>
    <w:p w14:paraId="4BC5F991">
      <w:pPr>
        <w:ind w:firstLine="640"/>
        <w:jc w:val="both"/>
        <w:rPr>
          <w:rFonts w:ascii="仿宋_GB2312" w:hAnsi="仿宋" w:eastAsia="仿宋_GB2312" w:cs="华文楷体"/>
          <w:color w:val="000000" w:themeColor="text1"/>
          <w:sz w:val="32"/>
          <w:szCs w:val="32"/>
        </w:rPr>
      </w:pPr>
      <w:r>
        <w:rPr>
          <w:rFonts w:hint="eastAsia" w:ascii="仿宋_GB2312" w:hAnsi="仿宋" w:eastAsia="仿宋_GB2312" w:cs="华文楷体"/>
          <w:color w:val="000000" w:themeColor="text1"/>
          <w:sz w:val="32"/>
          <w:szCs w:val="32"/>
        </w:rPr>
        <w:t>顺应科技革命、产业变革、消费升级趋势，探索新业态、新模式、新路径，</w:t>
      </w:r>
      <w:r>
        <w:rPr>
          <w:rFonts w:hint="eastAsia" w:ascii="仿宋_GB2312" w:eastAsia="仿宋_GB2312"/>
          <w:color w:val="000000" w:themeColor="text1"/>
          <w:sz w:val="32"/>
          <w:szCs w:val="32"/>
        </w:rPr>
        <w:t>促进</w:t>
      </w:r>
      <w:r>
        <w:rPr>
          <w:rFonts w:hint="eastAsia" w:ascii="仿宋_GB2312" w:hAnsi="仿宋" w:eastAsia="仿宋_GB2312" w:cs="华文楷体"/>
          <w:color w:val="000000" w:themeColor="text1"/>
          <w:sz w:val="32"/>
          <w:szCs w:val="32"/>
        </w:rPr>
        <w:t>制造业向服务型制造和制造业服务化转变，推动“两业”相融相长、耦合共生。</w:t>
      </w:r>
    </w:p>
    <w:p w14:paraId="347D5BF7">
      <w:pPr>
        <w:ind w:firstLine="643"/>
        <w:jc w:val="both"/>
        <w:rPr>
          <w:rFonts w:ascii="仿宋_GB2312" w:hAnsi="仿宋" w:eastAsia="仿宋_GB2312" w:cs="华文楷体"/>
          <w:color w:val="000000" w:themeColor="text1"/>
          <w:sz w:val="32"/>
          <w:szCs w:val="32"/>
        </w:rPr>
      </w:pPr>
      <w:r>
        <w:rPr>
          <w:rFonts w:hint="eastAsia" w:ascii="仿宋_GB2312" w:hAnsi="仿宋" w:eastAsia="仿宋_GB2312" w:cs="华文楷体"/>
          <w:b/>
          <w:color w:val="000000" w:themeColor="text1"/>
          <w:sz w:val="32"/>
          <w:szCs w:val="32"/>
        </w:rPr>
        <w:t>引导“两链”融合。</w:t>
      </w:r>
      <w:r>
        <w:rPr>
          <w:rFonts w:hint="eastAsia" w:ascii="仿宋_GB2312" w:hAnsi="仿宋" w:eastAsia="仿宋_GB2312" w:cs="华文楷体"/>
          <w:color w:val="000000" w:themeColor="text1"/>
          <w:sz w:val="32"/>
          <w:szCs w:val="32"/>
        </w:rPr>
        <w:t>推动企业、科研机构、高校、社会组织、创客等创新主体的协同，促进人才、技术、资金、项目、市场等创新要素的协同。探索产学研合作创新模式，促进产业链和创新链深度融合。</w:t>
      </w:r>
    </w:p>
    <w:p w14:paraId="282C7AD2">
      <w:pPr>
        <w:ind w:firstLine="643"/>
        <w:jc w:val="both"/>
        <w:rPr>
          <w:rFonts w:ascii="仿宋_GB2312" w:hAnsi="仿宋" w:eastAsia="仿宋_GB2312" w:cs="华文楷体"/>
          <w:color w:val="000000" w:themeColor="text1"/>
          <w:sz w:val="32"/>
          <w:szCs w:val="32"/>
        </w:rPr>
      </w:pPr>
      <w:r>
        <w:rPr>
          <w:rFonts w:hint="eastAsia" w:ascii="仿宋_GB2312" w:hAnsi="仿宋" w:eastAsia="仿宋_GB2312" w:cs="华文楷体"/>
          <w:b/>
          <w:color w:val="000000" w:themeColor="text1"/>
          <w:sz w:val="32"/>
          <w:szCs w:val="32"/>
        </w:rPr>
        <w:t>深化“两业”融合发展。</w:t>
      </w:r>
      <w:r>
        <w:rPr>
          <w:rFonts w:hint="eastAsia" w:ascii="仿宋_GB2312" w:hAnsi="仿宋" w:eastAsia="仿宋_GB2312" w:cs="华文楷体"/>
          <w:color w:val="000000" w:themeColor="text1"/>
          <w:sz w:val="32"/>
          <w:szCs w:val="32"/>
        </w:rPr>
        <w:t>加快先进制造业与现代服务业深度融合，推进生物医药产业和服务业融合发展。探索“资源+产品+市场”融合发展新路径，重点在螺蛳粉产业等优势资源型产业领域加速推进“两业”深度融合。推动医药制造纳入大健康产业链全过程，发挥壮医、瑶医在诊疗服务和养生保健方面的特色优势，打造“医药+康养”综合体，发展特色化健康旅游养老产业。</w:t>
      </w:r>
    </w:p>
    <w:p w14:paraId="31F3B29C">
      <w:pPr>
        <w:ind w:firstLine="643"/>
        <w:jc w:val="both"/>
        <w:rPr>
          <w:rFonts w:ascii="仿宋_GB2312" w:hAnsi="仿宋" w:eastAsia="仿宋_GB2312" w:cs="华文楷体"/>
          <w:color w:val="000000" w:themeColor="text1"/>
          <w:sz w:val="32"/>
          <w:szCs w:val="32"/>
        </w:rPr>
      </w:pPr>
      <w:r>
        <w:rPr>
          <w:rFonts w:hint="eastAsia" w:ascii="仿宋_GB2312" w:hAnsi="仿宋" w:eastAsia="仿宋_GB2312" w:cs="华文楷体"/>
          <w:b/>
          <w:color w:val="000000" w:themeColor="text1"/>
          <w:sz w:val="32"/>
          <w:szCs w:val="32"/>
        </w:rPr>
        <w:t>大力推进产业数字化。</w:t>
      </w:r>
      <w:r>
        <w:rPr>
          <w:rFonts w:hint="eastAsia" w:ascii="仿宋_GB2312" w:hAnsi="仿宋" w:eastAsia="仿宋_GB2312" w:cs="华文楷体"/>
          <w:color w:val="000000" w:themeColor="text1"/>
          <w:sz w:val="32"/>
          <w:szCs w:val="32"/>
        </w:rPr>
        <w:t>以螺蛳粉大数据平台（龙翔云）为基础，辐射生物医药、康复器械等大健康产业，从“建平台”和“用平台”两端发力，打通设计、生产、流通、消费与服务各环节，构建基于云平台的数据采集和分析体系，推动大数据、工业物联网等技术与制造业深度融合，支撑鱼峰区“数据洼地”建设，打造工业领域的数字新经济为基础的工业互联网平台。</w:t>
      </w:r>
    </w:p>
    <w:p w14:paraId="097238B1">
      <w:pPr>
        <w:pStyle w:val="3"/>
        <w:ind w:firstLine="643"/>
        <w:jc w:val="center"/>
        <w:rPr>
          <w:rFonts w:ascii="楷体_GB2312" w:eastAsia="楷体_GB2312"/>
          <w:color w:val="000000" w:themeColor="text1"/>
        </w:rPr>
      </w:pPr>
      <w:bookmarkStart w:id="31" w:name="_Toc71816243"/>
      <w:r>
        <w:rPr>
          <w:rFonts w:hint="eastAsia" w:ascii="楷体_GB2312" w:eastAsia="楷体_GB2312"/>
          <w:color w:val="000000" w:themeColor="text1"/>
        </w:rPr>
        <w:t>第四节 加强要素保障  提升竞争实力</w:t>
      </w:r>
      <w:bookmarkEnd w:id="31"/>
    </w:p>
    <w:p w14:paraId="61F5264D">
      <w:pPr>
        <w:ind w:firstLine="64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努力破解用地瓶颈制约，加大土地整合力度，推动重点项目落地。因地制宜盘活辖区工业企业的闲置土地和厂房，增加企业效益。持续推进城市更新改造，进一步盘活老旧片区土地，加速推进水南村炮团路以南片区等土地熟化项目实施，加快征地拆迁及集散地工作。加快标准化厂房的建设步伐，降低企业成本，缩短项目落地后至投产时间，尽快达产出效益。实施园区形象提升工程,进一步强化完善基础设施和公共服务配套。</w:t>
      </w:r>
    </w:p>
    <w:p w14:paraId="73090815">
      <w:pPr>
        <w:ind w:firstLine="64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撬动资本市场资源，服务实体经济发展。进一步加大资本市场服务实体经济力度，促进更多企业在多层次资本市场上市（挂牌），实现企业上市（挂牌）工作新突破。以扩大直接融资、壮大企业规模、提高核心竞争力为目标，通过政府引导、企业自主、政策</w:t>
      </w:r>
      <w:r>
        <w:rPr>
          <w:rFonts w:hint="eastAsia" w:ascii="仿宋_GB2312" w:hAnsi="仿宋" w:eastAsia="仿宋_GB2312" w:cs="华文楷体"/>
          <w:color w:val="000000" w:themeColor="text1"/>
          <w:sz w:val="32"/>
          <w:szCs w:val="32"/>
        </w:rPr>
        <w:t>扶持</w:t>
      </w:r>
      <w:r>
        <w:rPr>
          <w:rFonts w:hint="eastAsia" w:ascii="仿宋_GB2312" w:hAnsi="仿宋" w:eastAsia="仿宋_GB2312" w:cs="仿宋"/>
          <w:color w:val="000000" w:themeColor="text1"/>
          <w:sz w:val="32"/>
          <w:szCs w:val="32"/>
        </w:rPr>
        <w:t>的指导方针，大力培育和发展资本市场，充分发挥其优化资源配置、引导社会资本和推动创新发展的作用，扩大社会融资规模，提升直接融资比例，做大做强优秀企业，为全区经济高质量发展提供有力支持。</w:t>
      </w:r>
    </w:p>
    <w:p w14:paraId="038E0591">
      <w:pPr>
        <w:pStyle w:val="3"/>
        <w:ind w:firstLine="643"/>
        <w:jc w:val="center"/>
        <w:rPr>
          <w:rFonts w:ascii="楷体_GB2312" w:eastAsia="楷体_GB2312"/>
          <w:color w:val="000000" w:themeColor="text1"/>
        </w:rPr>
      </w:pPr>
      <w:bookmarkStart w:id="32" w:name="_Toc71816244"/>
      <w:r>
        <w:rPr>
          <w:rFonts w:hint="eastAsia" w:ascii="楷体_GB2312" w:eastAsia="楷体_GB2312"/>
          <w:color w:val="000000" w:themeColor="text1"/>
        </w:rPr>
        <w:t>第五节 实施质量强区战略  构建高质量发展格局</w:t>
      </w:r>
      <w:bookmarkEnd w:id="32"/>
    </w:p>
    <w:p w14:paraId="7959C083">
      <w:pPr>
        <w:ind w:firstLine="64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大力推进品牌和标准化建设，全面提升产品、工程和服务质量，初步形成功能突出、优质</w:t>
      </w:r>
      <w:r>
        <w:rPr>
          <w:rFonts w:hint="eastAsia" w:ascii="仿宋_GB2312" w:hAnsi="仿宋" w:eastAsia="仿宋_GB2312" w:cs="华文楷体"/>
          <w:color w:val="000000" w:themeColor="text1"/>
          <w:sz w:val="32"/>
          <w:szCs w:val="32"/>
        </w:rPr>
        <w:t>高效</w:t>
      </w:r>
      <w:r>
        <w:rPr>
          <w:rFonts w:hint="eastAsia" w:ascii="仿宋_GB2312" w:hAnsi="仿宋" w:eastAsia="仿宋_GB2312" w:cs="仿宋"/>
          <w:color w:val="000000" w:themeColor="text1"/>
          <w:sz w:val="32"/>
          <w:szCs w:val="32"/>
        </w:rPr>
        <w:t>的高质量发展新格局。</w:t>
      </w:r>
    </w:p>
    <w:p w14:paraId="338BD6C5">
      <w:pPr>
        <w:ind w:firstLine="643"/>
        <w:rPr>
          <w:rFonts w:hint="eastAsia" w:ascii="仿宋_GB2312" w:hAnsi="华文楷体" w:eastAsia="仿宋_GB2312" w:cs="华文楷体"/>
          <w:b/>
          <w:bCs/>
          <w:color w:val="000000" w:themeColor="text1"/>
          <w:sz w:val="32"/>
          <w:szCs w:val="32"/>
        </w:rPr>
      </w:pPr>
      <w:r>
        <w:rPr>
          <w:rFonts w:hint="eastAsia" w:ascii="仿宋_GB2312" w:hAnsi="仿宋" w:eastAsia="仿宋_GB2312" w:cs="华文楷体"/>
          <w:b/>
          <w:color w:val="000000" w:themeColor="text1"/>
          <w:sz w:val="32"/>
          <w:szCs w:val="32"/>
        </w:rPr>
        <w:t>实施质量提升行动。</w:t>
      </w:r>
      <w:r>
        <w:rPr>
          <w:rFonts w:hint="eastAsia" w:ascii="仿宋_GB2312" w:hAnsi="仿宋" w:eastAsia="仿宋_GB2312" w:cs="华文楷体"/>
          <w:color w:val="000000" w:themeColor="text1"/>
          <w:sz w:val="32"/>
          <w:szCs w:val="32"/>
        </w:rPr>
        <w:t>激励企业质量创新和质量提升。鼓励开展高端品质认证，推行个性化定制、柔性化生产。实施标准化综合改革，推动标准体系创新。完善第三方质量评价体系，健全质量认证、产品鉴定、检验检测等认证认可体系。发挥质量标杆企业示范引领作用，加强全过程质量管理。鼓励各类市场主体整合全过程要素资源，促进协同制造和协同创新。提升关键工艺过程控制水平，提高质量在线监测、在线控制和产品全生命周期质量追溯能力。</w:t>
      </w:r>
    </w:p>
    <w:p w14:paraId="4FFD781E">
      <w:pPr>
        <w:ind w:firstLine="643"/>
        <w:rPr>
          <w:rFonts w:ascii="仿宋_GB2312" w:hAnsi="仿宋" w:eastAsia="仿宋_GB2312" w:cs="华文楷体"/>
          <w:color w:val="000000" w:themeColor="text1"/>
          <w:sz w:val="32"/>
          <w:szCs w:val="32"/>
        </w:rPr>
      </w:pPr>
      <w:r>
        <w:rPr>
          <w:rFonts w:hint="eastAsia" w:ascii="仿宋_GB2312" w:hAnsi="仿宋" w:eastAsia="仿宋_GB2312" w:cs="华文楷体"/>
          <w:b/>
          <w:color w:val="000000" w:themeColor="text1"/>
          <w:sz w:val="32"/>
          <w:szCs w:val="32"/>
        </w:rPr>
        <w:t>实施商标品牌发展战略。</w:t>
      </w:r>
      <w:r>
        <w:rPr>
          <w:rFonts w:hint="eastAsia" w:ascii="仿宋_GB2312" w:hAnsi="仿宋" w:eastAsia="仿宋_GB2312" w:cs="华文楷体"/>
          <w:color w:val="000000" w:themeColor="text1"/>
          <w:sz w:val="32"/>
          <w:szCs w:val="32"/>
        </w:rPr>
        <w:t>大力培育自主创新品牌企业，促进形成具有核心竞争力的品牌经济发展模式。实施商标品牌战略，健全商标品牌管理体系。加快推动“鱼峰产品”向“鱼峰品牌”转化。精准引导培育使用地理标志商标和地理标志保护产品，带动产业扶贫。壮大柳州螺蛳粉等本土品牌，加大品牌宣介力度。加大注册商标专用权保护力度，重点加大中国驰名商标、地理标志商标和涉外商标的保护力度。</w:t>
      </w:r>
    </w:p>
    <w:p w14:paraId="06EEF8DB">
      <w:pPr>
        <w:ind w:firstLine="643"/>
        <w:rPr>
          <w:rFonts w:hint="eastAsia" w:ascii="仿宋_GB2312" w:hAnsi="仿宋" w:eastAsia="仿宋_GB2312" w:cs="华文楷体"/>
          <w:color w:val="000000" w:themeColor="text1"/>
          <w:spacing w:val="-6"/>
          <w:sz w:val="32"/>
          <w:szCs w:val="32"/>
        </w:rPr>
      </w:pPr>
      <w:r>
        <w:rPr>
          <w:rFonts w:hint="eastAsia" w:ascii="仿宋_GB2312" w:hAnsi="仿宋" w:eastAsia="仿宋_GB2312" w:cs="华文楷体"/>
          <w:b/>
          <w:color w:val="000000" w:themeColor="text1"/>
          <w:sz w:val="32"/>
          <w:szCs w:val="32"/>
        </w:rPr>
        <w:t>加强知识产权管理建设。</w:t>
      </w:r>
      <w:r>
        <w:rPr>
          <w:rFonts w:hint="eastAsia" w:ascii="仿宋_GB2312" w:hAnsi="仿宋" w:eastAsia="仿宋_GB2312" w:cs="华文楷体"/>
          <w:color w:val="000000" w:themeColor="text1"/>
          <w:sz w:val="32"/>
          <w:szCs w:val="32"/>
        </w:rPr>
        <w:t>实施知识产权战略，打通知识产权创造、运用、保护、管理和服务全链条。深化专利质量提升工作，发挥企业在发明创造中的主体作用。加大国家级、自治区级知识产权示范企业和优势企业培育，打造一批知识产权标杆企业。探索技术专利化、专利标准化、标准产业化、产业品牌化转型升级发展路径。深化专利导航对优势特色产业转型升级的导向和支撑效能。建立专利信息管理服务数据</w:t>
      </w:r>
      <w:r>
        <w:rPr>
          <w:rFonts w:hint="eastAsia" w:ascii="仿宋_GB2312" w:hAnsi="仿宋" w:eastAsia="仿宋_GB2312" w:cs="华文楷体"/>
          <w:color w:val="000000" w:themeColor="text1"/>
          <w:spacing w:val="-6"/>
          <w:sz w:val="32"/>
          <w:szCs w:val="32"/>
        </w:rPr>
        <w:t>库，打造专利运营服务平台，加速高价值专利创造和成果转化。</w:t>
      </w:r>
    </w:p>
    <w:p w14:paraId="520F117C">
      <w:pPr>
        <w:ind w:firstLine="643"/>
        <w:rPr>
          <w:rFonts w:hint="eastAsia" w:ascii="仿宋_GB2312" w:hAnsi="仿宋" w:eastAsia="仿宋_GB2312" w:cs="华文楷体"/>
          <w:color w:val="000000" w:themeColor="text1"/>
          <w:spacing w:val="-6"/>
          <w:sz w:val="32"/>
          <w:szCs w:val="32"/>
        </w:rPr>
      </w:pPr>
    </w:p>
    <w:tbl>
      <w:tblPr>
        <w:tblStyle w:val="10"/>
        <w:tblW w:w="7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0"/>
      </w:tblGrid>
      <w:tr w14:paraId="0221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940" w:type="dxa"/>
          </w:tcPr>
          <w:p w14:paraId="1ED33795">
            <w:pPr>
              <w:spacing w:line="360" w:lineRule="auto"/>
              <w:ind w:firstLine="480" w:firstLineChars="20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专栏：大健康产业发展重点工程</w:t>
            </w:r>
          </w:p>
        </w:tc>
      </w:tr>
      <w:tr w14:paraId="51C8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940" w:type="dxa"/>
          </w:tcPr>
          <w:p w14:paraId="0CEEDDC5">
            <w:pPr>
              <w:spacing w:line="360" w:lineRule="auto"/>
              <w:ind w:firstLine="482" w:firstLineChars="200"/>
              <w:jc w:val="left"/>
              <w:rPr>
                <w:rFonts w:hint="eastAsia" w:ascii="宋体" w:hAnsi="宋体" w:eastAsia="宋体" w:cs="宋体"/>
                <w:color w:val="000000" w:themeColor="text1"/>
                <w:kern w:val="0"/>
                <w:sz w:val="24"/>
                <w:szCs w:val="24"/>
              </w:rPr>
            </w:pPr>
            <w:r>
              <w:rPr>
                <w:rFonts w:hint="eastAsia" w:ascii="宋体" w:hAnsi="宋体" w:eastAsia="宋体" w:cs="宋体"/>
                <w:b/>
                <w:bCs/>
                <w:color w:val="000000" w:themeColor="text1"/>
                <w:kern w:val="0"/>
                <w:sz w:val="24"/>
                <w:szCs w:val="24"/>
              </w:rPr>
              <w:t>1.龙头企业引育工程:</w:t>
            </w:r>
            <w:r>
              <w:rPr>
                <w:rFonts w:hint="eastAsia" w:ascii="宋体" w:hAnsi="宋体" w:eastAsia="宋体" w:cs="宋体"/>
                <w:color w:val="000000" w:themeColor="text1"/>
                <w:kern w:val="0"/>
                <w:sz w:val="24"/>
                <w:szCs w:val="24"/>
              </w:rPr>
              <w:t>重点引进和培育一批螺蛳粉、生物医药以及医疗器械康复辅具类龙头企业。</w:t>
            </w:r>
          </w:p>
          <w:p w14:paraId="28736411">
            <w:pPr>
              <w:spacing w:line="360" w:lineRule="auto"/>
              <w:ind w:firstLine="482" w:firstLineChars="200"/>
              <w:jc w:val="left"/>
              <w:rPr>
                <w:rFonts w:hint="eastAsia" w:ascii="宋体" w:hAnsi="宋体" w:eastAsia="宋体" w:cs="宋体"/>
                <w:color w:val="000000" w:themeColor="text1"/>
                <w:kern w:val="0"/>
                <w:sz w:val="24"/>
                <w:szCs w:val="24"/>
              </w:rPr>
            </w:pPr>
            <w:r>
              <w:rPr>
                <w:rFonts w:hint="eastAsia" w:ascii="宋体" w:hAnsi="宋体" w:eastAsia="宋体" w:cs="宋体"/>
                <w:b/>
                <w:bCs/>
                <w:color w:val="000000" w:themeColor="text1"/>
                <w:kern w:val="0"/>
                <w:sz w:val="24"/>
                <w:szCs w:val="24"/>
              </w:rPr>
              <w:t>2.创新驱动发展工程:</w:t>
            </w:r>
            <w:r>
              <w:rPr>
                <w:rFonts w:hint="eastAsia" w:ascii="宋体" w:hAnsi="宋体" w:eastAsia="宋体" w:cs="宋体"/>
                <w:color w:val="000000" w:themeColor="text1"/>
                <w:kern w:val="0"/>
                <w:sz w:val="24"/>
                <w:szCs w:val="24"/>
              </w:rPr>
              <w:t>重点推进螺蛳粉产业标准化、规范化、集约化发展。重点支持螺蛳粉品牌化标准化体系建设。引导领军企业与国内科研院校共建研发中心、成果转化基地。</w:t>
            </w:r>
          </w:p>
          <w:p w14:paraId="7EAB0FB5">
            <w:pPr>
              <w:spacing w:line="360" w:lineRule="auto"/>
              <w:ind w:firstLine="482" w:firstLineChars="200"/>
              <w:jc w:val="left"/>
              <w:rPr>
                <w:rFonts w:hint="eastAsia" w:ascii="宋体" w:hAnsi="宋体" w:eastAsia="宋体" w:cs="宋体"/>
                <w:color w:val="000000" w:themeColor="text1"/>
                <w:kern w:val="0"/>
                <w:sz w:val="24"/>
                <w:szCs w:val="24"/>
              </w:rPr>
            </w:pPr>
            <w:r>
              <w:rPr>
                <w:rFonts w:hint="eastAsia" w:ascii="宋体" w:hAnsi="宋体" w:eastAsia="宋体" w:cs="宋体"/>
                <w:b/>
                <w:bCs/>
                <w:color w:val="000000" w:themeColor="text1"/>
                <w:kern w:val="0"/>
                <w:sz w:val="24"/>
                <w:szCs w:val="24"/>
              </w:rPr>
              <w:t>3.广实工业园区建设工程:</w:t>
            </w:r>
            <w:r>
              <w:rPr>
                <w:rFonts w:hint="eastAsia" w:ascii="宋体" w:hAnsi="宋体" w:eastAsia="宋体" w:cs="宋体"/>
                <w:color w:val="000000" w:themeColor="text1"/>
                <w:kern w:val="0"/>
                <w:sz w:val="24"/>
                <w:szCs w:val="24"/>
              </w:rPr>
              <w:t>积极筹建第二工业园区，局部规划仓储物流、居住商业等综合配套服务区，扩展工业发展新空间。</w:t>
            </w:r>
          </w:p>
          <w:p w14:paraId="71967B76">
            <w:pPr>
              <w:spacing w:line="360" w:lineRule="auto"/>
              <w:ind w:firstLine="482" w:firstLineChars="200"/>
              <w:jc w:val="left"/>
              <w:rPr>
                <w:rFonts w:hint="eastAsia" w:ascii="宋体" w:hAnsi="宋体" w:eastAsia="宋体" w:cs="宋体"/>
                <w:color w:val="000000" w:themeColor="text1"/>
                <w:kern w:val="0"/>
                <w:sz w:val="24"/>
                <w:szCs w:val="24"/>
              </w:rPr>
            </w:pPr>
            <w:r>
              <w:rPr>
                <w:rFonts w:hint="eastAsia" w:ascii="宋体" w:hAnsi="宋体" w:eastAsia="宋体" w:cs="宋体"/>
                <w:b/>
                <w:bCs/>
                <w:color w:val="000000" w:themeColor="text1"/>
                <w:kern w:val="0"/>
                <w:sz w:val="24"/>
                <w:szCs w:val="24"/>
              </w:rPr>
              <w:t>4.产业数字化工程:</w:t>
            </w:r>
            <w:r>
              <w:rPr>
                <w:rFonts w:hint="eastAsia" w:ascii="宋体" w:hAnsi="宋体" w:eastAsia="宋体" w:cs="宋体"/>
                <w:color w:val="000000" w:themeColor="text1"/>
                <w:kern w:val="0"/>
                <w:sz w:val="24"/>
                <w:szCs w:val="24"/>
              </w:rPr>
              <w:t>以螺蛳粉大数据平台（龙翔云）为基础，逐步辐射到生物医药、康复器械等大健康产业，构建基于云平台的数据采集和分析体系。</w:t>
            </w:r>
          </w:p>
        </w:tc>
      </w:tr>
    </w:tbl>
    <w:p w14:paraId="75E29294">
      <w:pPr>
        <w:ind w:firstLine="199" w:firstLineChars="95"/>
        <w:jc w:val="left"/>
        <w:rPr>
          <w:color w:val="000000" w:themeColor="text1"/>
        </w:rPr>
      </w:pPr>
    </w:p>
    <w:p w14:paraId="4E8E745A">
      <w:pPr>
        <w:pStyle w:val="2"/>
        <w:ind w:firstLine="720"/>
        <w:rPr>
          <w:rFonts w:ascii="黑体" w:hAnsi="黑体" w:eastAsia="黑体"/>
          <w:b w:val="0"/>
          <w:color w:val="000000" w:themeColor="text1"/>
          <w:sz w:val="36"/>
          <w:szCs w:val="36"/>
        </w:rPr>
      </w:pPr>
      <w:bookmarkStart w:id="33" w:name="_Toc71816245"/>
      <w:r>
        <w:rPr>
          <w:rFonts w:hint="eastAsia" w:ascii="黑体" w:hAnsi="黑体" w:eastAsia="黑体"/>
          <w:b w:val="0"/>
          <w:color w:val="000000" w:themeColor="text1"/>
          <w:sz w:val="36"/>
          <w:szCs w:val="36"/>
        </w:rPr>
        <w:t>第四章  商贸振兴，高质量建设商贸繁荣集聚区</w:t>
      </w:r>
      <w:bookmarkEnd w:id="33"/>
    </w:p>
    <w:bookmarkEnd w:id="27"/>
    <w:p w14:paraId="157482DC">
      <w:pPr>
        <w:pStyle w:val="3"/>
        <w:ind w:firstLine="643"/>
        <w:jc w:val="center"/>
        <w:rPr>
          <w:rFonts w:ascii="楷体_GB2312" w:eastAsia="楷体_GB2312"/>
          <w:color w:val="000000" w:themeColor="text1"/>
        </w:rPr>
      </w:pPr>
      <w:bookmarkStart w:id="34" w:name="_Toc71816246"/>
      <w:bookmarkStart w:id="35" w:name="_Toc6519"/>
      <w:r>
        <w:rPr>
          <w:rFonts w:hint="eastAsia" w:ascii="楷体_GB2312" w:eastAsia="楷体_GB2312"/>
          <w:color w:val="000000" w:themeColor="text1"/>
        </w:rPr>
        <w:t>第一节 完善商务服务业布局</w:t>
      </w:r>
      <w:bookmarkEnd w:id="34"/>
    </w:p>
    <w:p w14:paraId="732B07F8">
      <w:pPr>
        <w:ind w:firstLine="640"/>
        <w:rPr>
          <w:rFonts w:ascii="仿宋_GB2312" w:eastAsia="仿宋_GB2312"/>
          <w:color w:val="000000" w:themeColor="text1"/>
          <w:sz w:val="32"/>
          <w:szCs w:val="32"/>
        </w:rPr>
      </w:pPr>
      <w:r>
        <w:rPr>
          <w:rFonts w:hint="eastAsia" w:ascii="仿宋_GB2312" w:eastAsia="仿宋_GB2312"/>
          <w:color w:val="000000" w:themeColor="text1"/>
          <w:sz w:val="32"/>
          <w:szCs w:val="32"/>
        </w:rPr>
        <w:t>按照传统业态提质升级、新型业态提速发展的思路，重点发展“三大版块”，优化重点项目布局。</w:t>
      </w:r>
    </w:p>
    <w:p w14:paraId="36279A86">
      <w:pPr>
        <w:ind w:firstLine="643"/>
        <w:rPr>
          <w:rFonts w:ascii="仿宋_GB2312" w:eastAsia="仿宋_GB2312"/>
          <w:color w:val="000000" w:themeColor="text1"/>
          <w:sz w:val="32"/>
          <w:szCs w:val="32"/>
        </w:rPr>
      </w:pPr>
      <w:r>
        <w:rPr>
          <w:rFonts w:hint="eastAsia" w:ascii="仿宋_GB2312" w:eastAsia="仿宋_GB2312"/>
          <w:b/>
          <w:bCs/>
          <w:color w:val="000000" w:themeColor="text1"/>
          <w:sz w:val="32"/>
          <w:szCs w:val="32"/>
        </w:rPr>
        <w:t>重点发展“三大板块”。</w:t>
      </w:r>
      <w:r>
        <w:rPr>
          <w:rFonts w:hint="eastAsia" w:ascii="仿宋_GB2312" w:eastAsia="仿宋_GB2312"/>
          <w:color w:val="000000" w:themeColor="text1"/>
          <w:sz w:val="32"/>
          <w:szCs w:val="32"/>
        </w:rPr>
        <w:t>重点发展滨江传统商业核心板块。从进一步加大客流和提高消费粘性的角度，通过二次招商提升整体的业态，采取线上线下相结合的模式，鼓励拓展新零售渠道。重点发展水南商务集聚板块。以商务写字楼、金融保险业、企业总部经济为重点加快现代服务业聚集。积极向南面延伸，打造“名车长廊，风尚门户”的西江路高端汽车4S店集群。以华润大厦、三胞广场为主要载体，重点引入金融保险和新型服务业态，推进业态提质、税收增量。重点发展南片区生产性服务业板块。以祥兴科技孵化器为载体，以生产企业的需求为出发点，充分挖掘企业共性需求，打造生产性服务业产业集群，推动企业聚集发展，推进二三产加速融合。</w:t>
      </w:r>
    </w:p>
    <w:p w14:paraId="2E562D33">
      <w:pPr>
        <w:ind w:firstLine="643"/>
        <w:rPr>
          <w:rFonts w:ascii="仿宋_GB2312" w:eastAsia="仿宋_GB2312"/>
          <w:color w:val="000000" w:themeColor="text1"/>
          <w:sz w:val="32"/>
          <w:szCs w:val="32"/>
        </w:rPr>
      </w:pPr>
      <w:r>
        <w:rPr>
          <w:rFonts w:hint="eastAsia" w:ascii="仿宋_GB2312" w:eastAsia="仿宋_GB2312"/>
          <w:b/>
          <w:bCs/>
          <w:color w:val="000000" w:themeColor="text1"/>
          <w:sz w:val="32"/>
          <w:szCs w:val="32"/>
        </w:rPr>
        <w:t>优化重点项目布局。</w:t>
      </w:r>
      <w:r>
        <w:rPr>
          <w:rFonts w:hint="eastAsia" w:ascii="仿宋_GB2312" w:eastAsia="仿宋_GB2312"/>
          <w:color w:val="000000" w:themeColor="text1"/>
          <w:sz w:val="32"/>
          <w:szCs w:val="32"/>
        </w:rPr>
        <w:t>大力推进商业地产+城市综合体项目（奥特莱斯项目）。充分利用柳州农工商有限责任公司存量商业用地，打造城市奥特莱斯，与中心区传统百货形成错位互补，完善南片区商业布局。加快推进专业物流园区项目。主要以服务产业集群的物流需要为目的，在洛维工业园区打造面向桂中、桂北的医药智能仓储物流园区，在东盟旅游食品工业园区打造食品专业核心物流园区。加快建设汽车主题园区。通过招商引资建设主题园区，打造以汽车销售和后市场为主体，休闲娱乐餐饮等综合服务为一体的大型汽车展销综合体，进一步完善商业布局。</w:t>
      </w:r>
    </w:p>
    <w:tbl>
      <w:tblPr>
        <w:tblStyle w:val="1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6E0A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27CAC32A">
            <w:pPr>
              <w:spacing w:line="360" w:lineRule="auto"/>
              <w:ind w:firstLine="480" w:firstLineChars="200"/>
              <w:jc w:val="center"/>
              <w:rPr>
                <w:rFonts w:hint="eastAsia" w:ascii="宋体" w:hAnsi="宋体" w:eastAsia="宋体" w:cs="宋体"/>
                <w:b/>
                <w:bCs/>
                <w:color w:val="000000" w:themeColor="text1"/>
                <w:kern w:val="0"/>
                <w:sz w:val="24"/>
                <w:szCs w:val="24"/>
              </w:rPr>
            </w:pPr>
            <w:r>
              <w:rPr>
                <w:rFonts w:hint="eastAsia" w:ascii="宋体" w:hAnsi="宋体" w:eastAsia="宋体" w:cs="宋体"/>
                <w:color w:val="000000" w:themeColor="text1"/>
                <w:kern w:val="0"/>
                <w:sz w:val="24"/>
                <w:szCs w:val="24"/>
              </w:rPr>
              <w:t>专栏：服务业发展重点板块</w:t>
            </w:r>
          </w:p>
        </w:tc>
      </w:tr>
      <w:tr w14:paraId="17AA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1B187333">
            <w:pPr>
              <w:spacing w:beforeLines="50" w:line="360" w:lineRule="auto"/>
              <w:ind w:firstLine="482" w:firstLineChars="200"/>
              <w:rPr>
                <w:rFonts w:hint="eastAsia" w:ascii="宋体" w:hAnsi="宋体" w:eastAsia="宋体" w:cs="宋体"/>
                <w:color w:val="000000" w:themeColor="text1"/>
                <w:kern w:val="0"/>
                <w:sz w:val="24"/>
                <w:szCs w:val="24"/>
              </w:rPr>
            </w:pPr>
            <w:r>
              <w:rPr>
                <w:rFonts w:hint="eastAsia" w:ascii="宋体" w:hAnsi="宋体" w:eastAsia="宋体" w:cs="宋体"/>
                <w:b/>
                <w:bCs/>
                <w:color w:val="000000" w:themeColor="text1"/>
                <w:kern w:val="0"/>
                <w:sz w:val="24"/>
                <w:szCs w:val="24"/>
              </w:rPr>
              <w:t>1.滨江传统商业核心板块：</w:t>
            </w:r>
            <w:r>
              <w:rPr>
                <w:rFonts w:hint="eastAsia" w:ascii="宋体" w:hAnsi="宋体" w:eastAsia="宋体" w:cs="宋体"/>
                <w:color w:val="000000" w:themeColor="text1"/>
                <w:kern w:val="0"/>
                <w:sz w:val="24"/>
                <w:szCs w:val="24"/>
              </w:rPr>
              <w:t>南北走向柳江南岸至屏山大道以北，东西走向为河南桥头至文昌桥头的百里柳江南岸沿线，直至文昌西片区的新商业中心。该板块主要业态为百货、餐饮和住宿，未来针对客流和消费粘性等问题，通过二次招商提升整体的业态，线上线下相结合，拓展新零售渠道。</w:t>
            </w:r>
          </w:p>
          <w:p w14:paraId="24019BC6">
            <w:pPr>
              <w:spacing w:line="360" w:lineRule="auto"/>
              <w:ind w:firstLine="482" w:firstLineChars="200"/>
              <w:rPr>
                <w:rFonts w:hint="eastAsia" w:ascii="宋体" w:hAnsi="宋体" w:eastAsia="宋体" w:cs="宋体"/>
                <w:color w:val="000000" w:themeColor="text1"/>
                <w:kern w:val="0"/>
                <w:sz w:val="24"/>
                <w:szCs w:val="24"/>
              </w:rPr>
            </w:pPr>
            <w:r>
              <w:rPr>
                <w:rFonts w:hint="eastAsia" w:ascii="宋体" w:hAnsi="宋体" w:eastAsia="宋体" w:cs="宋体"/>
                <w:b/>
                <w:bCs/>
                <w:color w:val="000000" w:themeColor="text1"/>
                <w:kern w:val="0"/>
                <w:sz w:val="24"/>
                <w:szCs w:val="24"/>
              </w:rPr>
              <w:t>2.水南商务集聚板块：</w:t>
            </w:r>
            <w:r>
              <w:rPr>
                <w:rFonts w:hint="eastAsia" w:ascii="宋体" w:hAnsi="宋体" w:eastAsia="宋体" w:cs="宋体"/>
                <w:color w:val="000000" w:themeColor="text1"/>
                <w:kern w:val="0"/>
                <w:sz w:val="24"/>
                <w:szCs w:val="24"/>
              </w:rPr>
              <w:t>以文昌路、静兰路、东环大道和西江路包围而成的水南片区为主，辐射周边附近区域。主要发展商务写字楼、金融保险业、企业总部经济，同时向南面延伸，打造“名车长廊，风尚门户”的西江路高端汽车4S店集群，以华润大厦为主要载体，重点引入金融保险和新型服务业态。</w:t>
            </w:r>
          </w:p>
          <w:p w14:paraId="28FE6153">
            <w:pPr>
              <w:spacing w:afterLines="50" w:line="360" w:lineRule="auto"/>
              <w:ind w:firstLine="482" w:firstLineChars="200"/>
              <w:rPr>
                <w:rFonts w:hint="eastAsia" w:ascii="宋体" w:hAnsi="宋体" w:eastAsia="宋体" w:cs="宋体"/>
                <w:color w:val="000000" w:themeColor="text1"/>
                <w:kern w:val="0"/>
                <w:sz w:val="24"/>
                <w:szCs w:val="24"/>
              </w:rPr>
            </w:pPr>
            <w:r>
              <w:rPr>
                <w:rFonts w:hint="eastAsia" w:ascii="宋体" w:hAnsi="宋体" w:eastAsia="宋体" w:cs="宋体"/>
                <w:b/>
                <w:bCs/>
                <w:color w:val="000000" w:themeColor="text1"/>
                <w:kern w:val="0"/>
                <w:sz w:val="24"/>
                <w:szCs w:val="24"/>
              </w:rPr>
              <w:t>3.南片区生产性服务业板块：</w:t>
            </w:r>
            <w:r>
              <w:rPr>
                <w:rFonts w:hint="eastAsia" w:ascii="宋体" w:hAnsi="宋体" w:eastAsia="宋体" w:cs="宋体"/>
                <w:color w:val="000000" w:themeColor="text1"/>
                <w:kern w:val="0"/>
                <w:sz w:val="24"/>
                <w:szCs w:val="24"/>
              </w:rPr>
              <w:t>以大健康产业为主，推动相关产业集聚，主要发展生产企业需求的研发、工业设计、科技服务、知识产权服务、检测、电子商务等生产性服务业。</w:t>
            </w:r>
          </w:p>
        </w:tc>
      </w:tr>
    </w:tbl>
    <w:p w14:paraId="34376D3F">
      <w:pPr>
        <w:pStyle w:val="3"/>
        <w:ind w:firstLine="0" w:firstLineChars="0"/>
        <w:jc w:val="center"/>
        <w:rPr>
          <w:rFonts w:ascii="楷体_GB2312" w:eastAsia="楷体_GB2312"/>
          <w:color w:val="000000" w:themeColor="text1"/>
        </w:rPr>
      </w:pPr>
      <w:bookmarkStart w:id="36" w:name="_Toc71816247"/>
      <w:r>
        <w:rPr>
          <w:rFonts w:hint="eastAsia" w:ascii="楷体_GB2312" w:eastAsia="楷体_GB2312"/>
          <w:color w:val="000000" w:themeColor="text1"/>
        </w:rPr>
        <w:t>第二节 大力发展轻轨经济</w:t>
      </w:r>
      <w:bookmarkEnd w:id="36"/>
    </w:p>
    <w:p w14:paraId="04CDAFFD">
      <w:pPr>
        <w:ind w:firstLine="640"/>
        <w:rPr>
          <w:rFonts w:ascii="仿宋_GB2312" w:eastAsia="仿宋_GB2312"/>
          <w:color w:val="000000" w:themeColor="text1"/>
          <w:sz w:val="32"/>
          <w:szCs w:val="32"/>
        </w:rPr>
      </w:pPr>
      <w:r>
        <w:rPr>
          <w:rFonts w:hint="eastAsia" w:ascii="仿宋_GB2312" w:eastAsia="仿宋_GB2312"/>
          <w:color w:val="000000" w:themeColor="text1"/>
          <w:sz w:val="32"/>
          <w:szCs w:val="32"/>
        </w:rPr>
        <w:t>抓住柳州轻轨建设的机遇，以轻轨沿线为轴心，链接周边地块，建设城市轻轨经济带。充分发挥城市商务区的关键作用，提升城市商业档次，大力培育总部经济，促进制造业和服务业转型升级。</w:t>
      </w:r>
    </w:p>
    <w:p w14:paraId="13ADC36F">
      <w:pPr>
        <w:ind w:firstLine="640"/>
        <w:rPr>
          <w:rFonts w:ascii="仿宋_GB2312" w:eastAsia="仿宋_GB2312"/>
          <w:color w:val="000000" w:themeColor="text1"/>
          <w:sz w:val="32"/>
          <w:szCs w:val="32"/>
        </w:rPr>
      </w:pPr>
      <w:r>
        <w:rPr>
          <w:rFonts w:hint="eastAsia" w:ascii="仿宋_GB2312" w:eastAsia="仿宋_GB2312"/>
          <w:color w:val="000000" w:themeColor="text1"/>
          <w:sz w:val="32"/>
          <w:szCs w:val="32"/>
        </w:rPr>
        <w:t>充分发挥城市商务区的关键作用。依托城市轻轨经济带，积极培育华润万象城、窑埠商圈、银泰城、恒大商业中心等商业综合体，重点推进三胞广场、王府井百货等新商贸项目的建设，不断提升城市商业档次。大力发展商贸服务、教育、旅游、大健康等生活性服务业，支持发展夜经济，提高生活性服务业发展品质。重点打造一批高品质特色型酒店，提升住宿业的接待能力。</w:t>
      </w:r>
    </w:p>
    <w:p w14:paraId="563FD871">
      <w:pPr>
        <w:ind w:firstLine="640"/>
        <w:rPr>
          <w:rFonts w:ascii="仿宋_GB2312" w:eastAsia="仿宋_GB2312"/>
          <w:color w:val="000000" w:themeColor="text1"/>
          <w:sz w:val="32"/>
          <w:szCs w:val="32"/>
        </w:rPr>
      </w:pPr>
      <w:r>
        <w:rPr>
          <w:rFonts w:hint="eastAsia" w:ascii="仿宋_GB2312" w:eastAsia="仿宋_GB2312"/>
          <w:color w:val="000000" w:themeColor="text1"/>
          <w:sz w:val="32"/>
          <w:szCs w:val="32"/>
        </w:rPr>
        <w:t>大力培育总部经济。依托城市轻轨经济带，依托华润大厦，加快引进金融、保险公司总部进驻。建设辐射广西、中国西南乃至东盟的区域性科技服务中心、工业数字化中心及工业后台服务中心。夯实科技等产业载体，打造全区数字科技服务新高地。推动电子商务创新发展，支持新技术在电子商务领域开展应用创新，支持电子商务模式创新。改变传统专业市场零散分布格局，引导现有大型专业市场向专业商贸集聚区发展。加快建设汽车服务产业集聚区，打造贴近用户的汽车服务新业态。完善汽车及零部件市场物流体系，打造全国汽车及零部件采购总部和区域商品汽车集散中心。</w:t>
      </w:r>
    </w:p>
    <w:p w14:paraId="4F247AF3">
      <w:pPr>
        <w:pStyle w:val="3"/>
        <w:ind w:firstLine="643"/>
        <w:jc w:val="center"/>
        <w:rPr>
          <w:rFonts w:ascii="楷体_GB2312" w:eastAsia="楷体_GB2312"/>
          <w:color w:val="000000" w:themeColor="text1"/>
        </w:rPr>
      </w:pPr>
      <w:bookmarkStart w:id="37" w:name="_Toc71816248"/>
      <w:r>
        <w:rPr>
          <w:rFonts w:hint="eastAsia" w:ascii="楷体_GB2312" w:eastAsia="楷体_GB2312"/>
          <w:color w:val="000000" w:themeColor="text1"/>
        </w:rPr>
        <w:t>第三节 推动现代服务业转型升级</w:t>
      </w:r>
      <w:bookmarkEnd w:id="37"/>
    </w:p>
    <w:p w14:paraId="68C305A5">
      <w:pPr>
        <w:ind w:firstLine="640"/>
        <w:rPr>
          <w:rFonts w:ascii="仿宋_GB2312" w:eastAsia="仿宋_GB2312"/>
          <w:color w:val="000000" w:themeColor="text1"/>
          <w:sz w:val="32"/>
          <w:szCs w:val="32"/>
        </w:rPr>
      </w:pPr>
      <w:r>
        <w:rPr>
          <w:rFonts w:hint="eastAsia" w:ascii="仿宋_GB2312" w:eastAsia="仿宋_GB2312"/>
          <w:color w:val="000000" w:themeColor="text1"/>
          <w:sz w:val="32"/>
          <w:szCs w:val="32"/>
        </w:rPr>
        <w:t>加快传统商贸服务业的升级发展。将新业态、新渠道、新产品、新服务、新功能融入传统商贸，推动转型升级。抓好已有的现代服务业的创新升级和新型服务业的引进和培育。推动传统商贸中心升级发展，促进传统商圈向消费体验中心、休闲娱乐中心、文化时尚创意中心、商品和服务设计定制中心等新兴发展载体转型。继续开展现代服务业集中区的认定工作，稳步推进商贸地产业发展。扩大现有展会规模，提升展会服务能力，加强与国内外城市和地区合作，扩大展会影响力。</w:t>
      </w:r>
    </w:p>
    <w:p w14:paraId="20B95A6B">
      <w:pPr>
        <w:ind w:firstLine="640"/>
        <w:rPr>
          <w:rFonts w:ascii="仿宋_GB2312" w:eastAsia="仿宋_GB2312"/>
          <w:color w:val="000000" w:themeColor="text1"/>
          <w:sz w:val="32"/>
          <w:szCs w:val="32"/>
        </w:rPr>
      </w:pPr>
      <w:r>
        <w:rPr>
          <w:rFonts w:hint="eastAsia" w:ascii="仿宋_GB2312" w:eastAsia="仿宋_GB2312"/>
          <w:color w:val="000000" w:themeColor="text1"/>
          <w:sz w:val="32"/>
          <w:szCs w:val="32"/>
        </w:rPr>
        <w:t>加快现代服务业的创新发展。持续推进先进制造业和现代化服务业深度融合发展，从需求端探索消费升级中的真实需求，持续推进工业企业的产销分离工作。加快发展与制造业紧密相关的生产性服务业，重点培育发展工业设计、工业物流、电子商务、研发服务，推动大健康产业向价值链高端提升。加快服务模式创新升级，指导企业发展专业化企业服务，促进产销精准连接、高效畅通，引导企业在技术、产品、服务等领域持续创新突破，深化与配套服务企业协同，引领产业链深度融合和高端跃升。</w:t>
      </w:r>
    </w:p>
    <w:p w14:paraId="02C9B7FF">
      <w:pPr>
        <w:spacing w:line="480" w:lineRule="auto"/>
        <w:ind w:firstLine="640"/>
        <w:rPr>
          <w:rFonts w:ascii="仿宋_GB2312" w:eastAsia="仿宋_GB2312"/>
          <w:color w:val="000000" w:themeColor="text1"/>
          <w:sz w:val="32"/>
          <w:szCs w:val="32"/>
        </w:rPr>
      </w:pPr>
      <w:r>
        <w:rPr>
          <w:rFonts w:hint="eastAsia" w:ascii="仿宋_GB2312" w:eastAsia="仿宋_GB2312"/>
          <w:color w:val="000000" w:themeColor="text1"/>
          <w:sz w:val="32"/>
          <w:szCs w:val="32"/>
        </w:rPr>
        <w:t>打造食品产业新引擎和创新集聚区。以柳州螺蛳粉文化产业园、螺蛳美食一条街为食品创新核心区域，辐射窑埠古镇、石尚1966等周边网红地标。以柳州及周边地区丰富的农特产品为依托，融合汇聚电子商务、美食体验、美食创意、食品研究、众创空间等多种元素及资源，打造柳州食品产业</w:t>
      </w:r>
      <w:bookmarkStart w:id="38" w:name="_Hlk58175198"/>
      <w:r>
        <w:rPr>
          <w:rFonts w:hint="eastAsia" w:ascii="仿宋_GB2312" w:eastAsia="仿宋_GB2312"/>
          <w:color w:val="000000" w:themeColor="text1"/>
          <w:sz w:val="32"/>
          <w:szCs w:val="32"/>
        </w:rPr>
        <w:t>创新集聚区</w:t>
      </w:r>
      <w:bookmarkEnd w:id="38"/>
      <w:r>
        <w:rPr>
          <w:rFonts w:hint="eastAsia" w:ascii="仿宋_GB2312" w:eastAsia="仿宋_GB2312"/>
          <w:color w:val="000000" w:themeColor="text1"/>
          <w:sz w:val="32"/>
          <w:szCs w:val="32"/>
        </w:rPr>
        <w:t>。以柳州螺蛳粉产业全产业链发展为突破口，主动融入螺蛳粉电商产业园建设，研究出台相应的政策，探索商业试点，为螺蛳粉产业发展商业配套。结合柳州螺蛳粉“六个一”工程，加快螺蛳粉产业园企业产销分</w:t>
      </w:r>
      <w:r>
        <w:rPr>
          <w:rFonts w:hint="eastAsia" w:ascii="仿宋_GB2312" w:eastAsia="仿宋_GB2312"/>
          <w:color w:val="000000" w:themeColor="text1"/>
          <w:sz w:val="32"/>
          <w:szCs w:val="32"/>
          <w:lang w:eastAsia="zh-CN"/>
        </w:rPr>
        <w:t>离</w:t>
      </w:r>
      <w:r>
        <w:rPr>
          <w:rFonts w:hint="eastAsia" w:ascii="仿宋_GB2312" w:eastAsia="仿宋_GB2312"/>
          <w:color w:val="000000" w:themeColor="text1"/>
          <w:sz w:val="32"/>
          <w:szCs w:val="32"/>
        </w:rPr>
        <w:t>，加快推进柳州螺蛳粉大数据交易平台项目。</w:t>
      </w:r>
    </w:p>
    <w:p w14:paraId="1F1D4FA1">
      <w:pPr>
        <w:pStyle w:val="3"/>
        <w:ind w:firstLine="643"/>
        <w:rPr>
          <w:rFonts w:ascii="楷体_GB2312" w:eastAsia="楷体_GB2312"/>
          <w:color w:val="000000" w:themeColor="text1"/>
        </w:rPr>
      </w:pPr>
      <w:bookmarkStart w:id="39" w:name="_Toc71816249"/>
      <w:r>
        <w:rPr>
          <w:rFonts w:hint="eastAsia" w:ascii="楷体_GB2312" w:eastAsia="楷体_GB2312"/>
          <w:color w:val="000000" w:themeColor="text1"/>
        </w:rPr>
        <w:t>第四节 全面促进消费</w:t>
      </w:r>
      <w:bookmarkEnd w:id="39"/>
    </w:p>
    <w:p w14:paraId="0D6AC800">
      <w:pPr>
        <w:spacing w:line="480" w:lineRule="auto"/>
        <w:ind w:firstLine="64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完善便民消费，推动建设一批集餐饮、家政、托幼、维修等基本生活服务于一体的便民服务中心，在农村地区推动建设乡村生活综合服务中心。加快推进冷链流通标准化示范工程，加大农村电商扶持力度。积极推进中高端消费，鼓励有条件的市场主体积极申报商务部高品位步行街示范，推动其发挥引领商圈消费、提高消费品质、提高城市形象作用。推进传统百货向新零售模式转变，充分利用柳州银泰城构建线上线下一体化的“消费-履约-供应链”模式，使线上“夜经济”成为新的消费增长点。支持跨境电商，发展进口商品直营店。推动绿色循环消费，开展绿色商场创建工作。鼓励发展绿色餐饮，推广“生产基地+物流配送+餐饮门店”、“中央厨房+冷链配送+餐饮门店”模式。推进高效物流配送体系建设，以生活快消品、农产品、药品、快递商品为重点，完善配送网络体系，推进城市配送向纵深发展。</w:t>
      </w:r>
    </w:p>
    <w:p w14:paraId="4F7675AE">
      <w:pPr>
        <w:pStyle w:val="2"/>
        <w:ind w:firstLine="0" w:firstLineChars="0"/>
        <w:rPr>
          <w:rFonts w:ascii="黑体" w:hAnsi="黑体" w:eastAsia="黑体"/>
          <w:b w:val="0"/>
          <w:color w:val="000000" w:themeColor="text1"/>
          <w:sz w:val="36"/>
          <w:szCs w:val="36"/>
        </w:rPr>
      </w:pPr>
      <w:bookmarkStart w:id="40" w:name="_Toc71816250"/>
      <w:r>
        <w:rPr>
          <w:rFonts w:hint="eastAsia" w:ascii="黑体" w:hAnsi="黑体" w:eastAsia="黑体"/>
          <w:b w:val="0"/>
          <w:color w:val="000000" w:themeColor="text1"/>
          <w:sz w:val="36"/>
          <w:szCs w:val="36"/>
        </w:rPr>
        <w:t>第五章 文化振兴，高质量建设柳州文化传承核心区</w:t>
      </w:r>
      <w:bookmarkEnd w:id="35"/>
      <w:bookmarkEnd w:id="40"/>
    </w:p>
    <w:p w14:paraId="3E22F5E5">
      <w:pPr>
        <w:pStyle w:val="3"/>
        <w:ind w:firstLine="643"/>
        <w:jc w:val="center"/>
        <w:rPr>
          <w:rFonts w:ascii="楷体_GB2312" w:eastAsia="楷体_GB2312"/>
          <w:color w:val="000000" w:themeColor="text1"/>
        </w:rPr>
      </w:pPr>
      <w:bookmarkStart w:id="41" w:name="_Toc71816251"/>
      <w:r>
        <w:rPr>
          <w:rFonts w:hint="eastAsia" w:ascii="楷体_GB2312" w:eastAsia="楷体_GB2312"/>
          <w:color w:val="000000" w:themeColor="text1"/>
        </w:rPr>
        <w:t>第一节  健全文化保护和传承体系</w:t>
      </w:r>
      <w:bookmarkEnd w:id="41"/>
    </w:p>
    <w:p w14:paraId="6B65A0FA">
      <w:pPr>
        <w:ind w:firstLine="640"/>
        <w:jc w:val="both"/>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深入挖掘鱼峰区历史文化、民族文化、红色文化、工业文化等特色文化资源，加强文物保护利用和非物质文化遗产传承工作，探索文物保护和非物质遗产传承与新型城镇化、旧城改造融合发展的途径，重点打造大龙潭公园、工业博物馆、里雍、白沙特色文化区块。加强历史文化资源的内涵发掘，加大“刘三姐”文化、柳州螺蛳粉文化、窑埠红色文化、柳州工业文化以及廉政文化的品牌塑造和宣传，在里雍镇、白沙镇打造乡贤乡史馆，持续提升“鱼峰歌圩”全国山歌邀请赛，加强文化创意和文化展演，塑造具有鲜明地方民族特色的新兴城市文化名片，让文物古迹走出历史，让民族文化走向现代，让高水平文体赛事、会展走进柳州生活，推进柳州文化传承核心区建设，全面提高城区文化品位。</w:t>
      </w:r>
    </w:p>
    <w:p w14:paraId="2AD2DE38">
      <w:pPr>
        <w:ind w:firstLine="640"/>
        <w:jc w:val="left"/>
        <w:rPr>
          <w:rFonts w:ascii="仿宋_GB2312" w:hAnsi="仿宋" w:eastAsia="仿宋_GB2312" w:cs="华文楷体"/>
          <w:color w:val="000000" w:themeColor="text1"/>
          <w:sz w:val="32"/>
          <w:szCs w:val="32"/>
        </w:rPr>
      </w:pPr>
    </w:p>
    <w:p w14:paraId="55DA9FD2">
      <w:pPr>
        <w:pStyle w:val="3"/>
        <w:ind w:firstLine="643"/>
        <w:jc w:val="center"/>
        <w:rPr>
          <w:rFonts w:ascii="楷体_GB2312" w:hAnsi="仿宋" w:eastAsia="楷体_GB2312" w:cs="华文楷体"/>
          <w:color w:val="000000" w:themeColor="text1"/>
        </w:rPr>
      </w:pPr>
      <w:bookmarkStart w:id="42" w:name="_Toc58281845"/>
      <w:bookmarkStart w:id="43" w:name="_Toc71816252"/>
      <w:r>
        <w:rPr>
          <w:rFonts w:hint="eastAsia" w:ascii="楷体_GB2312" w:eastAsia="楷体_GB2312"/>
          <w:color w:val="000000" w:themeColor="text1"/>
        </w:rPr>
        <w:t>第二节  加强社会主义精神文明建设</w:t>
      </w:r>
      <w:bookmarkEnd w:id="42"/>
      <w:bookmarkEnd w:id="43"/>
    </w:p>
    <w:p w14:paraId="24B8FB82">
      <w:pPr>
        <w:ind w:firstLine="640"/>
        <w:jc w:val="both"/>
        <w:rPr>
          <w:rFonts w:ascii="仿宋_GB2312" w:hAnsi="仿宋" w:eastAsia="仿宋_GB2312" w:cs="仿宋"/>
          <w:color w:val="000000" w:themeColor="text1"/>
          <w:sz w:val="32"/>
          <w:szCs w:val="32"/>
          <w:shd w:val="clear" w:color="auto" w:fill="FFFFFF"/>
        </w:rPr>
      </w:pPr>
      <w:r>
        <w:rPr>
          <w:rFonts w:hint="eastAsia" w:ascii="仿宋_GB2312" w:hAnsi="仿宋" w:eastAsia="仿宋_GB2312" w:cs="仿宋"/>
          <w:color w:val="000000" w:themeColor="text1"/>
          <w:sz w:val="32"/>
          <w:szCs w:val="32"/>
          <w:shd w:val="clear" w:color="auto" w:fill="FFFFFF"/>
        </w:rPr>
        <w:t>着力培育和践行社会主义核心价值观，继承红色文化，发展社会主义先进文化。推动理想信念教育常态化制度化，大力推进公民道德建设，深入开展文明创建活动，健全志愿服务体系，弘扬诚信文化，多措并举提高社会文明程度。坚定文化自信，坚持马克思主义在意识形态领域指导地位，繁荣发展哲学社会科学，扎实推进理论学习，不断增强意识形态领域主导权和话语权。加强网络舆论工作，加强精神文明阵地建设和管理，强化舆情监测和重大舆情、突发事件舆论引导，弘扬主旋律，激发正能量，铸牢中华民族共同体意识，维护民族团结，繁荣新时代城市文化。立足当代鱼峰现实，结合时代条件，弘扬“</w:t>
      </w:r>
      <w:r>
        <w:rPr>
          <w:rFonts w:hint="eastAsia" w:ascii="仿宋_GB2312" w:hAnsi="仿宋" w:eastAsia="仿宋_GB2312" w:cs="仿宋"/>
          <w:color w:val="000000" w:themeColor="text1"/>
          <w:sz w:val="32"/>
          <w:szCs w:val="32"/>
        </w:rPr>
        <w:t>自强不息、勇争一流</w:t>
      </w:r>
      <w:r>
        <w:rPr>
          <w:rFonts w:hint="eastAsia" w:ascii="仿宋_GB2312" w:hAnsi="仿宋" w:eastAsia="仿宋_GB2312" w:cs="仿宋"/>
          <w:color w:val="000000" w:themeColor="text1"/>
          <w:sz w:val="32"/>
          <w:szCs w:val="32"/>
          <w:shd w:val="clear" w:color="auto" w:fill="FFFFFF"/>
        </w:rPr>
        <w:t>”鱼峰精神，大力传承中华传统美德，倡导良好家风家训，为人民提供精神指引。</w:t>
      </w:r>
    </w:p>
    <w:p w14:paraId="24B005EA">
      <w:pPr>
        <w:pStyle w:val="3"/>
        <w:ind w:firstLine="643"/>
        <w:jc w:val="center"/>
        <w:rPr>
          <w:rFonts w:ascii="楷体_GB2312" w:eastAsia="楷体_GB2312"/>
          <w:color w:val="000000" w:themeColor="text1"/>
        </w:rPr>
      </w:pPr>
      <w:bookmarkStart w:id="44" w:name="_Toc58281846"/>
      <w:bookmarkStart w:id="45" w:name="_Toc71816253"/>
      <w:r>
        <w:rPr>
          <w:rFonts w:hint="eastAsia" w:ascii="楷体_GB2312" w:eastAsia="楷体_GB2312"/>
          <w:color w:val="000000" w:themeColor="text1"/>
        </w:rPr>
        <w:t>第三节 大力发展文化事业</w:t>
      </w:r>
      <w:bookmarkEnd w:id="44"/>
      <w:bookmarkEnd w:id="45"/>
    </w:p>
    <w:p w14:paraId="22DBD2EB">
      <w:pPr>
        <w:ind w:firstLine="640"/>
        <w:jc w:val="both"/>
        <w:rPr>
          <w:rFonts w:ascii="仿宋_GB2312" w:hAnsi="仿宋" w:eastAsia="仿宋_GB2312" w:cs="华文楷体"/>
          <w:color w:val="000000" w:themeColor="text1"/>
          <w:sz w:val="32"/>
          <w:szCs w:val="32"/>
        </w:rPr>
      </w:pPr>
      <w:r>
        <w:rPr>
          <w:rFonts w:hint="eastAsia" w:ascii="仿宋_GB2312" w:hAnsi="仿宋" w:eastAsia="仿宋_GB2312" w:cs="华文楷体"/>
          <w:color w:val="000000" w:themeColor="text1"/>
          <w:sz w:val="32"/>
          <w:szCs w:val="32"/>
        </w:rPr>
        <w:t>实施文艺精品创作工程，加大文化人才培养和引进，壮大文化专家队伍，聘请1-2名文化大家作为鱼峰文化和旅游形象代言人，传承和发扬好鱼峰历史文化，讲好鱼峰故事。加强公共文化基础设施建设，完善公共文化服务体系，深入实施文化惠民工程，力争形成“15分钟文化圈”，丰富鱼峰区群众性文化活动。创新公共文化服务方式，推进政府购买公共文化服务，加强文化服务阵地建设，提升“鱼峰歌圩”、“戏曲进乡村”、“戏曲进校园”等文化品牌的服务质量和影响力，促进公共文化服务资源共建共享。积极开展全民健身活动及具有鱼峰地方特色、民族特色的节庆活动、赛事活动、体育活动。加强文物保护和非物质文化遗产传承工作，加大“非遗进校园进社区进乡村”力度。</w:t>
      </w:r>
    </w:p>
    <w:p w14:paraId="3743656E">
      <w:pPr>
        <w:pStyle w:val="3"/>
        <w:ind w:firstLine="643"/>
        <w:jc w:val="center"/>
        <w:rPr>
          <w:rFonts w:ascii="楷体_GB2312" w:eastAsia="楷体_GB2312"/>
          <w:color w:val="000000" w:themeColor="text1"/>
        </w:rPr>
      </w:pPr>
      <w:bookmarkStart w:id="46" w:name="_Toc43896783"/>
      <w:bookmarkStart w:id="47" w:name="_Toc58281847"/>
      <w:bookmarkStart w:id="48" w:name="_Toc71816254"/>
      <w:r>
        <w:rPr>
          <w:rFonts w:hint="eastAsia" w:ascii="楷体_GB2312" w:eastAsia="楷体_GB2312"/>
          <w:color w:val="000000" w:themeColor="text1"/>
        </w:rPr>
        <w:t>第四节 推动文化旅游产业</w:t>
      </w:r>
      <w:bookmarkEnd w:id="46"/>
      <w:r>
        <w:rPr>
          <w:rFonts w:hint="eastAsia" w:ascii="楷体_GB2312" w:eastAsia="楷体_GB2312"/>
          <w:color w:val="000000" w:themeColor="text1"/>
        </w:rPr>
        <w:t>高质量发展</w:t>
      </w:r>
      <w:bookmarkEnd w:id="47"/>
      <w:bookmarkEnd w:id="48"/>
    </w:p>
    <w:p w14:paraId="5B991A15">
      <w:pPr>
        <w:ind w:firstLine="640"/>
        <w:jc w:val="both"/>
        <w:rPr>
          <w:rFonts w:ascii="仿宋_GB2312" w:hAnsi="仿宋" w:eastAsia="仿宋_GB2312" w:cs="华文楷体"/>
          <w:color w:val="000000" w:themeColor="text1"/>
          <w:sz w:val="32"/>
          <w:szCs w:val="32"/>
        </w:rPr>
      </w:pPr>
      <w:r>
        <w:rPr>
          <w:rFonts w:hint="eastAsia" w:ascii="仿宋_GB2312" w:hAnsi="仿宋" w:eastAsia="仿宋_GB2312" w:cs="仿宋"/>
          <w:color w:val="000000" w:themeColor="text1"/>
          <w:sz w:val="32"/>
          <w:szCs w:val="32"/>
        </w:rPr>
        <w:t>加快文化与旅游融合，进一步打造“柳州螺蛳粉文化”、“白莲洞文化”、“刘三姐文化”、“柳州工业文化”等鱼峰文化旅游品牌，助推文旅产业快速发展。</w:t>
      </w:r>
      <w:r>
        <w:rPr>
          <w:rFonts w:hint="eastAsia" w:ascii="仿宋_GB2312" w:hAnsi="仿宋" w:eastAsia="仿宋_GB2312" w:cs="仿宋"/>
          <w:bCs/>
          <w:color w:val="000000" w:themeColor="text1"/>
          <w:sz w:val="32"/>
          <w:szCs w:val="32"/>
        </w:rPr>
        <w:t>加大文旅企业的招商引资力度，强化“城市会客厅”功能，</w:t>
      </w:r>
      <w:r>
        <w:rPr>
          <w:rFonts w:hint="eastAsia" w:ascii="仿宋_GB2312" w:hAnsi="仿宋" w:eastAsia="仿宋_GB2312" w:cs="仿宋"/>
          <w:color w:val="000000" w:themeColor="text1"/>
          <w:sz w:val="32"/>
          <w:szCs w:val="32"/>
        </w:rPr>
        <w:t>促进文旅产业业态升级和产品品质提升。</w:t>
      </w:r>
      <w:r>
        <w:rPr>
          <w:rFonts w:hint="eastAsia" w:ascii="仿宋_GB2312" w:hAnsi="仿宋" w:eastAsia="仿宋_GB2312" w:cs="仿宋"/>
          <w:bCs/>
          <w:color w:val="000000" w:themeColor="text1"/>
          <w:sz w:val="32"/>
          <w:szCs w:val="32"/>
        </w:rPr>
        <w:t>探索“文化+美食”新模式，借鉴柳州菜博物馆、欢腾苗寨、锦桂楼等成功经验，发展特色民族文化餐饮，重点打造窑埠古镇、驾鹤路、红街、石尚1966等特色饮食文化集聚区，促进饮食文化新发展。</w:t>
      </w:r>
      <w:r>
        <w:rPr>
          <w:rFonts w:hint="eastAsia" w:ascii="仿宋_GB2312" w:hAnsi="仿宋" w:eastAsia="仿宋_GB2312" w:cs="仿宋"/>
          <w:color w:val="000000" w:themeColor="text1"/>
          <w:sz w:val="32"/>
          <w:szCs w:val="32"/>
        </w:rPr>
        <w:t>合理规划龙潭-都乐岩、窑埠古镇、三伯岭等优质旅游资源的整体开发，以重大旅游项目建设为突破口，创新旅游发展模式，创建文化旅游示范县区，打造工业生态旅游首选目的地，增强鱼峰区旅游品牌竞争力。进一步完善旅游基础设施，加强文化旅游融媒体宣传推介，多渠道多角度多形式宣传鱼峰文化旅游，做大做强文化旅游产业。全力推进国家全域旅游示范区创建，实施休闲农业和乡村旅游精品工程，建设一批特色鲜明、设施完备、功能多样的休闲观光园区，重点推进江湾屯原生态农业观光旅游基地等项目建设，建设医养结合的健康旅游基地，将鱼峰区打造成柳州西南民族风情旅游集散中心以及广西重要的健康养生旅游胜地。</w:t>
      </w:r>
    </w:p>
    <w:tbl>
      <w:tblPr>
        <w:tblStyle w:val="10"/>
        <w:tblW w:w="7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0"/>
      </w:tblGrid>
      <w:tr w14:paraId="2EB6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940" w:type="dxa"/>
          </w:tcPr>
          <w:p w14:paraId="36773EBF">
            <w:pPr>
              <w:spacing w:line="360" w:lineRule="auto"/>
              <w:ind w:firstLine="480" w:firstLineChars="20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专栏：文旅产业发展重点工程</w:t>
            </w:r>
          </w:p>
        </w:tc>
      </w:tr>
      <w:tr w14:paraId="76AF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940" w:type="dxa"/>
          </w:tcPr>
          <w:p w14:paraId="40F4887E">
            <w:pPr>
              <w:widowControl/>
              <w:spacing w:line="360" w:lineRule="auto"/>
              <w:ind w:firstLine="482" w:firstLineChars="200"/>
              <w:jc w:val="left"/>
              <w:rPr>
                <w:rFonts w:hint="eastAsia" w:ascii="宋体" w:hAnsi="宋体" w:eastAsia="宋体" w:cs="宋体"/>
                <w:color w:val="000000" w:themeColor="text1"/>
                <w:kern w:val="0"/>
                <w:sz w:val="24"/>
                <w:szCs w:val="24"/>
              </w:rPr>
            </w:pPr>
            <w:r>
              <w:rPr>
                <w:rFonts w:hint="eastAsia" w:ascii="宋体" w:hAnsi="宋体" w:eastAsia="宋体" w:cs="宋体"/>
                <w:b/>
                <w:color w:val="000000" w:themeColor="text1"/>
                <w:kern w:val="0"/>
                <w:sz w:val="24"/>
                <w:szCs w:val="24"/>
              </w:rPr>
              <w:t>1.景区品质提升工程。</w:t>
            </w:r>
            <w:r>
              <w:rPr>
                <w:rFonts w:hint="eastAsia" w:ascii="宋体" w:hAnsi="宋体" w:eastAsia="宋体" w:cs="宋体"/>
                <w:bCs/>
                <w:color w:val="000000" w:themeColor="text1"/>
                <w:kern w:val="0"/>
                <w:sz w:val="24"/>
                <w:szCs w:val="24"/>
              </w:rPr>
              <w:t>重点</w:t>
            </w:r>
            <w:r>
              <w:rPr>
                <w:rFonts w:hint="eastAsia" w:ascii="宋体" w:hAnsi="宋体" w:eastAsia="宋体" w:cs="宋体"/>
                <w:color w:val="000000" w:themeColor="text1"/>
                <w:kern w:val="0"/>
                <w:sz w:val="24"/>
                <w:szCs w:val="24"/>
              </w:rPr>
              <w:t>建设都乐岩风景区、龙潭公园、红花谷生态旅游区，提升柳州螺蛳粉产业园。</w:t>
            </w:r>
          </w:p>
          <w:p w14:paraId="4F2E48C3">
            <w:pPr>
              <w:widowControl/>
              <w:spacing w:line="360" w:lineRule="auto"/>
              <w:ind w:firstLine="482" w:firstLineChars="200"/>
              <w:jc w:val="left"/>
              <w:rPr>
                <w:rFonts w:hint="eastAsia" w:ascii="宋体" w:hAnsi="宋体" w:eastAsia="宋体" w:cs="宋体"/>
                <w:color w:val="000000" w:themeColor="text1"/>
                <w:kern w:val="0"/>
                <w:sz w:val="24"/>
                <w:szCs w:val="24"/>
              </w:rPr>
            </w:pPr>
            <w:r>
              <w:rPr>
                <w:rFonts w:hint="eastAsia" w:ascii="宋体" w:hAnsi="宋体" w:eastAsia="宋体" w:cs="宋体"/>
                <w:b/>
                <w:color w:val="000000" w:themeColor="text1"/>
                <w:kern w:val="0"/>
                <w:sz w:val="24"/>
                <w:szCs w:val="24"/>
              </w:rPr>
              <w:t>2.文化生活惠民工程。</w:t>
            </w:r>
            <w:r>
              <w:rPr>
                <w:rFonts w:hint="eastAsia" w:ascii="宋体" w:hAnsi="宋体" w:eastAsia="宋体" w:cs="宋体"/>
                <w:color w:val="000000" w:themeColor="text1"/>
                <w:kern w:val="0"/>
                <w:sz w:val="24"/>
                <w:szCs w:val="24"/>
              </w:rPr>
              <w:t>重点支持文庙广场、驾鹤小桃源以及窑埠古镇螺蛳街等项目，支持“鱼峰歌圩”等文化体育赛事。</w:t>
            </w:r>
          </w:p>
          <w:p w14:paraId="7307E75B">
            <w:pPr>
              <w:widowControl/>
              <w:spacing w:line="360" w:lineRule="auto"/>
              <w:ind w:firstLine="482" w:firstLineChars="200"/>
              <w:jc w:val="left"/>
              <w:rPr>
                <w:rFonts w:hint="eastAsia" w:ascii="宋体" w:hAnsi="宋体" w:eastAsia="宋体" w:cs="宋体"/>
                <w:color w:val="000000" w:themeColor="text1"/>
                <w:kern w:val="0"/>
                <w:sz w:val="24"/>
                <w:szCs w:val="24"/>
              </w:rPr>
            </w:pPr>
            <w:r>
              <w:rPr>
                <w:rFonts w:hint="eastAsia" w:ascii="宋体" w:hAnsi="宋体" w:eastAsia="宋体" w:cs="宋体"/>
                <w:b/>
                <w:color w:val="000000" w:themeColor="text1"/>
                <w:kern w:val="0"/>
                <w:sz w:val="24"/>
                <w:szCs w:val="24"/>
              </w:rPr>
              <w:t>3.休闲养生健康工程。</w:t>
            </w:r>
            <w:r>
              <w:rPr>
                <w:rFonts w:hint="eastAsia" w:ascii="宋体" w:hAnsi="宋体" w:eastAsia="宋体" w:cs="宋体"/>
                <w:bCs/>
                <w:color w:val="000000" w:themeColor="text1"/>
                <w:kern w:val="0"/>
                <w:sz w:val="24"/>
                <w:szCs w:val="24"/>
              </w:rPr>
              <w:t>支持星级农家乐建设，推动</w:t>
            </w:r>
            <w:r>
              <w:rPr>
                <w:rFonts w:hint="eastAsia" w:ascii="宋体" w:hAnsi="宋体" w:eastAsia="宋体" w:cs="宋体"/>
                <w:color w:val="000000" w:themeColor="text1"/>
                <w:kern w:val="0"/>
                <w:sz w:val="24"/>
                <w:szCs w:val="24"/>
              </w:rPr>
              <w:t>卧龙湖生态农业旅游项目和红花谷生态旅游区建设，推动汽车营地项目申报自治区体育旅游星级综合体，推进三伯岭健康旅游示范基地建设。</w:t>
            </w:r>
          </w:p>
          <w:p w14:paraId="53239211">
            <w:pPr>
              <w:widowControl/>
              <w:spacing w:line="360" w:lineRule="auto"/>
              <w:ind w:firstLine="482" w:firstLineChars="200"/>
              <w:jc w:val="left"/>
              <w:rPr>
                <w:rFonts w:hint="eastAsia" w:ascii="宋体" w:hAnsi="宋体" w:eastAsia="宋体" w:cs="宋体"/>
                <w:color w:val="000000" w:themeColor="text1"/>
                <w:kern w:val="0"/>
                <w:sz w:val="24"/>
                <w:szCs w:val="24"/>
              </w:rPr>
            </w:pPr>
            <w:r>
              <w:rPr>
                <w:rFonts w:hint="eastAsia" w:ascii="宋体" w:hAnsi="宋体" w:eastAsia="宋体" w:cs="宋体"/>
                <w:b/>
                <w:color w:val="000000" w:themeColor="text1"/>
                <w:kern w:val="0"/>
                <w:sz w:val="24"/>
                <w:szCs w:val="24"/>
              </w:rPr>
              <w:t>4.旅游配套暖心工程。</w:t>
            </w:r>
            <w:r>
              <w:rPr>
                <w:rFonts w:hint="eastAsia" w:ascii="宋体" w:hAnsi="宋体" w:eastAsia="宋体" w:cs="宋体"/>
                <w:color w:val="000000" w:themeColor="text1"/>
                <w:kern w:val="0"/>
                <w:sz w:val="24"/>
                <w:szCs w:val="24"/>
              </w:rPr>
              <w:t>重点支持旅游集散中心、游客咨询服务中心、星级旅游饭店、健身旅游步道、游客中心、生态停车场、旅游厕所等旅游基础设施。</w:t>
            </w:r>
          </w:p>
          <w:p w14:paraId="7D85CB8A">
            <w:pPr>
              <w:widowControl/>
              <w:spacing w:line="360" w:lineRule="auto"/>
              <w:ind w:firstLine="482" w:firstLineChars="200"/>
              <w:jc w:val="left"/>
              <w:rPr>
                <w:rFonts w:hint="eastAsia" w:ascii="宋体" w:hAnsi="宋体" w:eastAsia="宋体" w:cs="宋体"/>
                <w:color w:val="000000" w:themeColor="text1"/>
                <w:kern w:val="0"/>
                <w:sz w:val="24"/>
                <w:szCs w:val="24"/>
              </w:rPr>
            </w:pPr>
            <w:r>
              <w:rPr>
                <w:rFonts w:hint="eastAsia" w:ascii="宋体" w:hAnsi="宋体" w:eastAsia="宋体" w:cs="宋体"/>
                <w:b/>
                <w:color w:val="000000" w:themeColor="text1"/>
                <w:kern w:val="0"/>
                <w:sz w:val="24"/>
                <w:szCs w:val="24"/>
              </w:rPr>
              <w:t>5.智慧旅游工程。</w:t>
            </w:r>
            <w:r>
              <w:rPr>
                <w:rFonts w:hint="eastAsia" w:ascii="宋体" w:hAnsi="宋体" w:eastAsia="宋体" w:cs="宋体"/>
                <w:bCs/>
                <w:color w:val="000000" w:themeColor="text1"/>
                <w:kern w:val="0"/>
                <w:sz w:val="24"/>
                <w:szCs w:val="24"/>
              </w:rPr>
              <w:t>完善智慧旅游基础设施，实现旅游公共场所免费wifi服务和通讯信号全覆盖；推进鱼峰区智慧旅游网上服务平台建设和旅游大数据平台。</w:t>
            </w:r>
          </w:p>
        </w:tc>
      </w:tr>
    </w:tbl>
    <w:p w14:paraId="0D82EBB3">
      <w:pPr>
        <w:pStyle w:val="2"/>
        <w:ind w:firstLine="720"/>
        <w:rPr>
          <w:rFonts w:ascii="黑体" w:hAnsi="黑体" w:eastAsia="黑体"/>
          <w:b w:val="0"/>
          <w:color w:val="000000" w:themeColor="text1"/>
          <w:sz w:val="36"/>
          <w:szCs w:val="36"/>
        </w:rPr>
      </w:pPr>
      <w:bookmarkStart w:id="49" w:name="_Toc71816255"/>
      <w:bookmarkStart w:id="50" w:name="_Toc27862"/>
      <w:r>
        <w:rPr>
          <w:rFonts w:hint="eastAsia" w:ascii="黑体" w:hAnsi="黑体" w:eastAsia="黑体"/>
          <w:b w:val="0"/>
          <w:color w:val="000000" w:themeColor="text1"/>
          <w:sz w:val="36"/>
          <w:szCs w:val="36"/>
        </w:rPr>
        <w:t>第六章 科技振兴，高质量建设智慧城市先行区</w:t>
      </w:r>
      <w:bookmarkEnd w:id="49"/>
      <w:bookmarkEnd w:id="50"/>
    </w:p>
    <w:p w14:paraId="5082CD91">
      <w:pPr>
        <w:pStyle w:val="3"/>
        <w:ind w:firstLine="643"/>
        <w:jc w:val="center"/>
        <w:rPr>
          <w:rFonts w:ascii="楷体_GB2312" w:eastAsia="楷体_GB2312"/>
          <w:color w:val="000000" w:themeColor="text1"/>
        </w:rPr>
      </w:pPr>
      <w:bookmarkStart w:id="51" w:name="_Toc59720548"/>
      <w:bookmarkStart w:id="52" w:name="_Toc71816256"/>
      <w:bookmarkStart w:id="53" w:name="_Toc58053707"/>
      <w:bookmarkStart w:id="54" w:name="_Toc27330"/>
      <w:r>
        <w:rPr>
          <w:rFonts w:hint="eastAsia" w:ascii="楷体_GB2312" w:eastAsia="楷体_GB2312"/>
          <w:color w:val="000000" w:themeColor="text1"/>
        </w:rPr>
        <w:t>第一节 扎实推进智慧城市项目建设</w:t>
      </w:r>
      <w:bookmarkEnd w:id="51"/>
      <w:bookmarkEnd w:id="52"/>
      <w:bookmarkEnd w:id="53"/>
    </w:p>
    <w:p w14:paraId="4B90EAE4">
      <w:pPr>
        <w:ind w:firstLine="643"/>
        <w:rPr>
          <w:rFonts w:ascii="仿宋_GB2312" w:hAnsi="仿宋" w:eastAsia="仿宋_GB2312" w:cs="华文楷体"/>
          <w:color w:val="000000" w:themeColor="text1"/>
          <w:sz w:val="32"/>
          <w:szCs w:val="32"/>
        </w:rPr>
      </w:pPr>
      <w:r>
        <w:rPr>
          <w:rFonts w:hint="eastAsia" w:ascii="仿宋_GB2312" w:hAnsi="仿宋" w:eastAsia="仿宋_GB2312" w:cs="华文楷体"/>
          <w:b/>
          <w:color w:val="000000" w:themeColor="text1"/>
          <w:sz w:val="32"/>
          <w:szCs w:val="32"/>
        </w:rPr>
        <w:t>打造“智慧鱼峰”。</w:t>
      </w:r>
      <w:r>
        <w:rPr>
          <w:rFonts w:hint="eastAsia" w:ascii="仿宋_GB2312" w:hAnsi="仿宋" w:eastAsia="仿宋_GB2312" w:cs="华文楷体"/>
          <w:bCs/>
          <w:color w:val="000000" w:themeColor="text1"/>
          <w:sz w:val="32"/>
          <w:szCs w:val="32"/>
        </w:rPr>
        <w:t>制定智慧城市建设实施计划，完善智慧城市建设布局。</w:t>
      </w:r>
      <w:r>
        <w:rPr>
          <w:rFonts w:hint="eastAsia" w:ascii="仿宋_GB2312" w:hAnsi="仿宋" w:eastAsia="仿宋_GB2312" w:cs="华文楷体"/>
          <w:color w:val="000000" w:themeColor="text1"/>
          <w:sz w:val="32"/>
          <w:szCs w:val="32"/>
        </w:rPr>
        <w:t>规划建设“鱼峰智慧大数据中心”，上接柳州市大数据局数据共享交换系统，下采鱼峰各街道、社区、网格以及各委办局的数据资源。建设人口信息、组织法人、空间地理信息、宏观经济、信用信息、电子证照等六大基础数据库；以业务需求建设天马街道、白莲街道、荣军街道、驾鹤街道、麒麟街道、箭盘山街道、五里亭街道等七大业务专题库；围绕“智慧党建”、“智慧文旅”、“智慧城管”、“智慧医疗”、“智慧交通”、“智慧产业”、“智慧监管”等领域，建设政治、经济、生活等服务主题平台。积极谋划和推进智慧康复、智慧养老等民生领域智慧项目。</w:t>
      </w:r>
    </w:p>
    <w:p w14:paraId="797D1471">
      <w:pPr>
        <w:ind w:firstLine="643"/>
        <w:rPr>
          <w:rFonts w:ascii="仿宋_GB2312" w:hAnsi="仿宋" w:eastAsia="仿宋_GB2312" w:cs="华文楷体"/>
          <w:color w:val="000000" w:themeColor="text1"/>
          <w:sz w:val="32"/>
          <w:szCs w:val="32"/>
        </w:rPr>
      </w:pPr>
      <w:r>
        <w:rPr>
          <w:rFonts w:hint="eastAsia" w:ascii="仿宋_GB2312" w:hAnsi="仿宋" w:eastAsia="仿宋_GB2312" w:cs="华文楷体"/>
          <w:b/>
          <w:color w:val="000000" w:themeColor="text1"/>
          <w:sz w:val="32"/>
          <w:szCs w:val="32"/>
        </w:rPr>
        <w:t>积极推动政务、社区、大数据展示三大平台与“鱼峰通”APP等智慧应用系统建设。</w:t>
      </w:r>
      <w:r>
        <w:rPr>
          <w:rFonts w:hint="eastAsia" w:ascii="仿宋_GB2312" w:hAnsi="仿宋" w:eastAsia="仿宋_GB2312" w:cs="华文楷体"/>
          <w:color w:val="000000" w:themeColor="text1"/>
          <w:sz w:val="32"/>
          <w:szCs w:val="32"/>
        </w:rPr>
        <w:t>建设智慧政务综合管理平台，完善智能办公管理（政务OA）、重大任务跟踪管理等子系统；建设智慧社区综合服务平台，包含“一岗通办”业务办理、数据填报、信息综合查询、自管小区管控分析等子系统；建设大数据分析展示平台，实现鱼峰辖区内景点、商圈等重点场所人员流动的实时数据展示；完善“鱼峰通”APP功能，使之成为区政府各单位工作人员日常工作通用软件。</w:t>
      </w:r>
    </w:p>
    <w:p w14:paraId="3C055D05">
      <w:pPr>
        <w:pStyle w:val="3"/>
        <w:ind w:firstLine="643"/>
        <w:jc w:val="center"/>
        <w:rPr>
          <w:rFonts w:ascii="楷体_GB2312" w:eastAsia="楷体_GB2312"/>
          <w:color w:val="000000" w:themeColor="text1"/>
        </w:rPr>
      </w:pPr>
      <w:bookmarkStart w:id="55" w:name="_Toc58281850"/>
      <w:bookmarkStart w:id="56" w:name="_Toc59720549"/>
      <w:bookmarkStart w:id="57" w:name="_Toc71816257"/>
      <w:r>
        <w:rPr>
          <w:rFonts w:hint="eastAsia" w:ascii="楷体_GB2312" w:eastAsia="楷体_GB2312"/>
          <w:color w:val="000000" w:themeColor="text1"/>
        </w:rPr>
        <w:t>第二节 加强信息基础设施等“新基建”建设</w:t>
      </w:r>
      <w:bookmarkEnd w:id="55"/>
      <w:bookmarkEnd w:id="56"/>
      <w:bookmarkEnd w:id="57"/>
    </w:p>
    <w:p w14:paraId="09BB676D">
      <w:pPr>
        <w:ind w:firstLine="643"/>
        <w:rPr>
          <w:rFonts w:ascii="仿宋_GB2312" w:hAnsi="仿宋" w:eastAsia="仿宋_GB2312" w:cs="华文楷体"/>
          <w:color w:val="000000" w:themeColor="text1"/>
          <w:sz w:val="32"/>
          <w:szCs w:val="32"/>
        </w:rPr>
      </w:pPr>
      <w:r>
        <w:rPr>
          <w:rFonts w:hint="eastAsia" w:ascii="仿宋_GB2312" w:hAnsi="仿宋" w:eastAsia="仿宋_GB2312" w:cs="华文楷体"/>
          <w:b/>
          <w:color w:val="000000" w:themeColor="text1"/>
          <w:sz w:val="32"/>
          <w:szCs w:val="32"/>
        </w:rPr>
        <w:t>全面融入柳州市城乡一体宽带网络，建设高速、移动、安全、泛在的新一代信息基础设施建设。</w:t>
      </w:r>
      <w:r>
        <w:rPr>
          <w:rFonts w:hint="eastAsia" w:ascii="仿宋_GB2312" w:hAnsi="仿宋" w:eastAsia="仿宋_GB2312" w:cs="华文楷体"/>
          <w:color w:val="000000" w:themeColor="text1"/>
          <w:sz w:val="32"/>
          <w:szCs w:val="32"/>
        </w:rPr>
        <w:t>大力推进城区内5G网络、物联网、工业互联网、大数据中心等信息基础设施建设。立足新能源汽车的发展，积极协助柳电电气，建成一批新能源汽车快速充电站。推动健康食品、生物医药、医疗器械康复器具三大支柱产业，汽车、机械等传统特色产业的相关企业，以及洛维、河表、静脉等工业园区的融合基础设施升级，支撑科学研究、技术开发、产品研制等创新基础设施建设，力争成为全市数字经济示范区建设标兵。</w:t>
      </w:r>
    </w:p>
    <w:p w14:paraId="66A48E43">
      <w:pPr>
        <w:ind w:firstLine="643"/>
        <w:rPr>
          <w:rFonts w:ascii="仿宋_GB2312" w:hAnsi="仿宋" w:eastAsia="仿宋_GB2312" w:cs="华文楷体"/>
          <w:color w:val="000000" w:themeColor="text1"/>
          <w:sz w:val="32"/>
          <w:szCs w:val="32"/>
        </w:rPr>
      </w:pPr>
      <w:r>
        <w:rPr>
          <w:rFonts w:hint="eastAsia" w:ascii="仿宋_GB2312" w:hAnsi="仿宋" w:eastAsia="仿宋_GB2312" w:cs="华文楷体"/>
          <w:b/>
          <w:color w:val="000000" w:themeColor="text1"/>
          <w:sz w:val="32"/>
          <w:szCs w:val="32"/>
        </w:rPr>
        <w:t>推进传统基础设施融合改造。</w:t>
      </w:r>
      <w:r>
        <w:rPr>
          <w:rFonts w:hint="eastAsia" w:ascii="仿宋_GB2312" w:hAnsi="仿宋" w:eastAsia="仿宋_GB2312" w:cs="华文楷体"/>
          <w:color w:val="000000" w:themeColor="text1"/>
          <w:sz w:val="32"/>
          <w:szCs w:val="32"/>
        </w:rPr>
        <w:t>按照柳州市标准和要求，将已建成的鱼峰区信息网络改造成“超级高速公路”，将已建成的能源骨干网络进行分布式和智能化的系统升级，在保留传统公共设施自身功能的基础上，对城区公共基础设施进行数字化改造，完成基于数字化平台上的资源和功能整合。</w:t>
      </w:r>
    </w:p>
    <w:p w14:paraId="4361B948">
      <w:pPr>
        <w:pStyle w:val="3"/>
        <w:ind w:firstLine="643"/>
        <w:jc w:val="center"/>
        <w:rPr>
          <w:rFonts w:ascii="楷体_GB2312" w:eastAsia="楷体_GB2312"/>
          <w:color w:val="000000" w:themeColor="text1"/>
        </w:rPr>
      </w:pPr>
      <w:bookmarkStart w:id="58" w:name="_Toc59720550"/>
      <w:bookmarkStart w:id="59" w:name="_Toc58053709"/>
      <w:bookmarkStart w:id="60" w:name="_Toc58281851"/>
      <w:bookmarkStart w:id="61" w:name="_Toc71816258"/>
      <w:r>
        <w:rPr>
          <w:rFonts w:hint="eastAsia" w:ascii="楷体_GB2312" w:eastAsia="楷体_GB2312"/>
          <w:color w:val="000000" w:themeColor="text1"/>
        </w:rPr>
        <w:t>第三节 打造“数据洼地”发展数字经济</w:t>
      </w:r>
      <w:bookmarkEnd w:id="58"/>
      <w:bookmarkEnd w:id="59"/>
      <w:bookmarkEnd w:id="60"/>
      <w:bookmarkEnd w:id="61"/>
    </w:p>
    <w:p w14:paraId="7817C372">
      <w:pPr>
        <w:ind w:firstLine="643"/>
        <w:rPr>
          <w:rFonts w:ascii="仿宋_GB2312" w:hAnsi="仿宋" w:eastAsia="仿宋_GB2312" w:cs="华文楷体"/>
          <w:color w:val="000000" w:themeColor="text1"/>
          <w:sz w:val="32"/>
          <w:szCs w:val="32"/>
        </w:rPr>
      </w:pPr>
      <w:r>
        <w:rPr>
          <w:rFonts w:hint="eastAsia" w:ascii="仿宋_GB2312" w:hAnsi="仿宋" w:eastAsia="仿宋_GB2312" w:cs="华文楷体"/>
          <w:b/>
          <w:color w:val="000000" w:themeColor="text1"/>
          <w:sz w:val="32"/>
          <w:szCs w:val="32"/>
        </w:rPr>
        <w:t>加快特色产业全链条数字化升级。</w:t>
      </w:r>
      <w:r>
        <w:rPr>
          <w:rFonts w:hint="eastAsia" w:ascii="仿宋_GB2312" w:hAnsi="仿宋" w:eastAsia="仿宋_GB2312" w:cs="华文楷体"/>
          <w:color w:val="000000" w:themeColor="text1"/>
          <w:sz w:val="32"/>
          <w:szCs w:val="32"/>
        </w:rPr>
        <w:t>重点建设柳州螺蛳粉大数据交易平台，通过整合螺蛳粉全产业链的运营数据，应用人工智能、大数据等技术加快“企业画像”，实现线上线下融合，为种植加工、消费分析、协作研发、质量管理等多项综合提供服务，构建企业发展布局和农民“智慧脱贫”的良性互动，推动螺蛳粉产业向数字经济转型升级。</w:t>
      </w:r>
    </w:p>
    <w:p w14:paraId="576668C5">
      <w:pPr>
        <w:ind w:firstLine="643"/>
        <w:rPr>
          <w:rFonts w:ascii="仿宋_GB2312" w:hAnsi="仿宋" w:eastAsia="仿宋_GB2312" w:cs="华文楷体"/>
          <w:color w:val="000000" w:themeColor="text1"/>
          <w:sz w:val="32"/>
          <w:szCs w:val="32"/>
        </w:rPr>
      </w:pPr>
      <w:r>
        <w:rPr>
          <w:rFonts w:hint="eastAsia" w:ascii="仿宋_GB2312" w:hAnsi="仿宋" w:eastAsia="仿宋_GB2312" w:cs="华文楷体"/>
          <w:b/>
          <w:color w:val="000000" w:themeColor="text1"/>
          <w:sz w:val="32"/>
          <w:szCs w:val="32"/>
        </w:rPr>
        <w:t>推进工业领域数字化建设。</w:t>
      </w:r>
      <w:r>
        <w:rPr>
          <w:rFonts w:hint="eastAsia" w:ascii="仿宋_GB2312" w:hAnsi="仿宋" w:eastAsia="仿宋_GB2312" w:cs="华文楷体"/>
          <w:bCs/>
          <w:color w:val="000000" w:themeColor="text1"/>
          <w:sz w:val="32"/>
          <w:szCs w:val="32"/>
        </w:rPr>
        <w:t>围绕工业互联网发展，以</w:t>
      </w:r>
      <w:r>
        <w:rPr>
          <w:rFonts w:hint="eastAsia" w:ascii="仿宋_GB2312" w:hAnsi="仿宋" w:eastAsia="仿宋_GB2312" w:cs="华文楷体"/>
          <w:color w:val="000000" w:themeColor="text1"/>
          <w:sz w:val="32"/>
          <w:szCs w:val="32"/>
        </w:rPr>
        <w:t>“小场景”和“实效”驱动汽车、机械产业企业数字化转型，加强5G、人工智能等新一代信息技术承载和覆盖，促进产品研发、设计的智能化与数字化发展。推动洛维生产性服务业转型升级，推进工业设计外包开放发展，提升工业设计中心的数字化建设水平。</w:t>
      </w:r>
    </w:p>
    <w:p w14:paraId="78F3B44F">
      <w:pPr>
        <w:ind w:firstLine="643"/>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深化信息技术与新业态融合发展。</w:t>
      </w:r>
      <w:r>
        <w:rPr>
          <w:rFonts w:hint="eastAsia" w:ascii="仿宋_GB2312" w:hAnsi="仿宋" w:eastAsia="仿宋_GB2312" w:cs="华文楷体"/>
          <w:color w:val="000000" w:themeColor="text1"/>
          <w:sz w:val="32"/>
          <w:szCs w:val="32"/>
        </w:rPr>
        <w:t>围绕电子商务、会展服务、中介服务等，推进城区线上服务数字化升级，应用互联网、大数据等智能交互技术深度应用，满足社会消费升级需求，大力发展新型餐饮服务、新型住宿服务、在线医疗、线上教育、智慧出行、数字文娱、在线会议及展览展示等新业态。应用5G、大数据、云计算等信息技术打造石尚1966文化艺术园、23°文化创意园等创意产业基地，构建面向全区的创客空间。围绕新金融服务，推进金融组织机构创新，运用云计算、区块链等技术发展金融新产品，积极发展在线金融服务、供应链金融等。</w:t>
      </w:r>
    </w:p>
    <w:p w14:paraId="08CD97B1">
      <w:pPr>
        <w:pStyle w:val="3"/>
        <w:ind w:firstLine="643"/>
        <w:jc w:val="center"/>
        <w:rPr>
          <w:rFonts w:ascii="楷体_GB2312" w:eastAsia="楷体_GB2312"/>
          <w:color w:val="000000" w:themeColor="text1"/>
        </w:rPr>
      </w:pPr>
      <w:bookmarkStart w:id="62" w:name="_Toc59720551"/>
      <w:bookmarkStart w:id="63" w:name="_Toc58281852"/>
      <w:bookmarkStart w:id="64" w:name="_Toc58053710"/>
      <w:bookmarkStart w:id="65" w:name="_Toc71816259"/>
      <w:r>
        <w:rPr>
          <w:rFonts w:hint="eastAsia" w:ascii="楷体_GB2312" w:eastAsia="楷体_GB2312"/>
          <w:color w:val="000000" w:themeColor="text1"/>
        </w:rPr>
        <w:t>第四节 构建鱼峰科技创新体系</w:t>
      </w:r>
      <w:bookmarkEnd w:id="62"/>
      <w:bookmarkEnd w:id="63"/>
      <w:bookmarkEnd w:id="64"/>
      <w:bookmarkEnd w:id="65"/>
    </w:p>
    <w:p w14:paraId="04AB6A62">
      <w:pPr>
        <w:ind w:firstLine="643"/>
        <w:rPr>
          <w:rFonts w:ascii="仿宋_GB2312" w:hAnsi="仿宋" w:eastAsia="仿宋_GB2312" w:cs="华文楷体"/>
          <w:color w:val="000000" w:themeColor="text1"/>
          <w:sz w:val="32"/>
          <w:szCs w:val="32"/>
        </w:rPr>
      </w:pPr>
      <w:r>
        <w:rPr>
          <w:rFonts w:hint="eastAsia" w:ascii="仿宋_GB2312" w:hAnsi="仿宋" w:eastAsia="仿宋_GB2312" w:cs="华文楷体"/>
          <w:b/>
          <w:color w:val="000000" w:themeColor="text1"/>
          <w:sz w:val="32"/>
          <w:szCs w:val="32"/>
        </w:rPr>
        <w:t>加快构建以企业为主体、市场为导向、产学研深度融合的技术创新体系。</w:t>
      </w:r>
      <w:r>
        <w:rPr>
          <w:rFonts w:hint="eastAsia" w:ascii="仿宋_GB2312" w:hAnsi="仿宋" w:eastAsia="仿宋_GB2312" w:cs="华文楷体"/>
          <w:color w:val="000000" w:themeColor="text1"/>
          <w:sz w:val="32"/>
          <w:szCs w:val="32"/>
        </w:rPr>
        <w:t>聚焦鱼峰区健康食品、生物医药、医疗器械康复器具等大健康产业，引导支持企业建设国家级企业技术中心、工程技术研究中心、重点实验室、工业设计中心等研发平台，开展区内外产学研合作，促进成果到鱼峰区转移转化，提升企业核心竞争力。实施高新技术企业增长计划，大力发展科技型中小企业，支持中小微企业研发“专精特新”产品，成为创新重要发源地。</w:t>
      </w:r>
    </w:p>
    <w:p w14:paraId="2BD9BE8C">
      <w:pPr>
        <w:ind w:firstLine="643"/>
        <w:rPr>
          <w:rFonts w:ascii="仿宋_GB2312" w:hAnsi="仿宋" w:eastAsia="仿宋_GB2312" w:cs="华文楷体"/>
          <w:b/>
          <w:color w:val="000000" w:themeColor="text1"/>
          <w:sz w:val="32"/>
          <w:szCs w:val="32"/>
        </w:rPr>
      </w:pPr>
      <w:r>
        <w:rPr>
          <w:rFonts w:hint="eastAsia" w:ascii="仿宋_GB2312" w:hAnsi="仿宋" w:eastAsia="仿宋_GB2312" w:cs="华文楷体"/>
          <w:b/>
          <w:color w:val="000000" w:themeColor="text1"/>
          <w:sz w:val="32"/>
          <w:szCs w:val="32"/>
        </w:rPr>
        <w:t>完善创新创业平台。</w:t>
      </w:r>
      <w:r>
        <w:rPr>
          <w:rFonts w:hint="eastAsia" w:ascii="仿宋_GB2312" w:hAnsi="仿宋" w:eastAsia="仿宋_GB2312" w:cs="华文楷体"/>
          <w:color w:val="000000" w:themeColor="text1"/>
          <w:sz w:val="32"/>
          <w:szCs w:val="32"/>
        </w:rPr>
        <w:t>强化协同创新能力建设，</w:t>
      </w:r>
      <w:r>
        <w:rPr>
          <w:rFonts w:hint="eastAsia" w:ascii="仿宋_GB2312" w:hAnsi="仿宋" w:eastAsia="仿宋_GB2312" w:cs="华文楷体"/>
          <w:bCs/>
          <w:color w:val="000000" w:themeColor="text1"/>
          <w:sz w:val="32"/>
          <w:szCs w:val="32"/>
        </w:rPr>
        <w:t>依托“三个百亿园区”</w:t>
      </w:r>
      <w:r>
        <w:rPr>
          <w:rFonts w:hint="eastAsia" w:ascii="仿宋_GB2312" w:hAnsi="仿宋" w:eastAsia="仿宋_GB2312" w:cs="华文楷体"/>
          <w:color w:val="000000" w:themeColor="text1"/>
          <w:sz w:val="32"/>
          <w:szCs w:val="32"/>
        </w:rPr>
        <w:t>推进国内外知名高校院所到鱼峰区建设产业技术创新平台，开展政产学研用协同创新，创建一批重大科技创新平台。鼓励城区内高校院所建设科技成果中试基地和科研试验站等，促进技术成果规模化应用。围绕大健康产业，依托企业建设新型研发机构，力争建成自治区级、国家级研发中心。</w:t>
      </w:r>
    </w:p>
    <w:p w14:paraId="504A40AE">
      <w:pPr>
        <w:ind w:firstLine="643"/>
        <w:rPr>
          <w:rFonts w:ascii="仿宋_GB2312" w:hAnsi="仿宋" w:eastAsia="仿宋_GB2312" w:cs="华文楷体"/>
          <w:color w:val="000000" w:themeColor="text1"/>
          <w:sz w:val="32"/>
          <w:szCs w:val="32"/>
        </w:rPr>
      </w:pPr>
      <w:r>
        <w:rPr>
          <w:rFonts w:hint="eastAsia" w:ascii="仿宋_GB2312" w:hAnsi="仿宋" w:eastAsia="仿宋_GB2312" w:cs="华文楷体"/>
          <w:b/>
          <w:color w:val="000000" w:themeColor="text1"/>
          <w:sz w:val="32"/>
          <w:szCs w:val="32"/>
        </w:rPr>
        <w:t>大力发展</w:t>
      </w:r>
      <w:bookmarkStart w:id="66" w:name="_Hlk57993900"/>
      <w:r>
        <w:rPr>
          <w:rFonts w:hint="eastAsia" w:ascii="仿宋_GB2312" w:hAnsi="仿宋" w:eastAsia="仿宋_GB2312" w:cs="华文楷体"/>
          <w:b/>
          <w:color w:val="000000" w:themeColor="text1"/>
          <w:sz w:val="32"/>
          <w:szCs w:val="32"/>
        </w:rPr>
        <w:t>科技服务业</w:t>
      </w:r>
      <w:bookmarkEnd w:id="66"/>
      <w:r>
        <w:rPr>
          <w:rFonts w:hint="eastAsia" w:ascii="仿宋_GB2312" w:hAnsi="仿宋" w:eastAsia="仿宋_GB2312" w:cs="华文楷体"/>
          <w:b/>
          <w:color w:val="000000" w:themeColor="text1"/>
          <w:sz w:val="32"/>
          <w:szCs w:val="32"/>
        </w:rPr>
        <w:t>。</w:t>
      </w:r>
      <w:r>
        <w:rPr>
          <w:rFonts w:hint="eastAsia" w:ascii="仿宋_GB2312" w:hAnsi="仿宋" w:eastAsia="仿宋_GB2312" w:cs="华文楷体"/>
          <w:color w:val="000000" w:themeColor="text1"/>
          <w:sz w:val="32"/>
          <w:szCs w:val="32"/>
        </w:rPr>
        <w:t>建设新型科技孵化器，高标准严要求发展孵化器，鼓励创建自治区、国家级孵化器，为大健康产业高质量发展提供高质量服务。引进培育科技服务类企业，为鱼峰区重点产业企业开展技术培训、技术咨询、技术孵化、技术交易、知识产权等服务，力争新增2-3家科技服务类企业上规入统。</w:t>
      </w:r>
    </w:p>
    <w:p w14:paraId="175901B6">
      <w:pPr>
        <w:ind w:firstLine="640"/>
        <w:rPr>
          <w:rFonts w:ascii="仿宋_GB2312" w:hAnsi="仿宋" w:eastAsia="仿宋_GB2312" w:cs="华文楷体"/>
          <w:color w:val="000000" w:themeColor="text1"/>
          <w:sz w:val="32"/>
          <w:szCs w:val="32"/>
        </w:rPr>
      </w:pPr>
    </w:p>
    <w:p w14:paraId="682B2235">
      <w:pPr>
        <w:ind w:firstLine="640"/>
        <w:rPr>
          <w:rFonts w:ascii="仿宋_GB2312" w:hAnsi="仿宋" w:eastAsia="仿宋_GB2312" w:cs="华文楷体"/>
          <w:color w:val="000000" w:themeColor="text1"/>
          <w:sz w:val="32"/>
          <w:szCs w:val="32"/>
        </w:rPr>
      </w:pP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713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46367329">
            <w:pPr>
              <w:spacing w:line="360" w:lineRule="auto"/>
              <w:ind w:firstLine="480" w:firstLineChars="20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专栏：创新体系建设行动计划</w:t>
            </w:r>
          </w:p>
        </w:tc>
      </w:tr>
      <w:tr w14:paraId="32E8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35863F6B">
            <w:pPr>
              <w:spacing w:line="360" w:lineRule="auto"/>
              <w:ind w:firstLine="482" w:firstLineChars="200"/>
              <w:jc w:val="left"/>
              <w:rPr>
                <w:rFonts w:hint="eastAsia" w:ascii="宋体" w:hAnsi="宋体" w:eastAsia="宋体" w:cs="宋体"/>
                <w:color w:val="000000" w:themeColor="text1"/>
                <w:kern w:val="0"/>
                <w:sz w:val="24"/>
                <w:szCs w:val="24"/>
              </w:rPr>
            </w:pPr>
            <w:r>
              <w:rPr>
                <w:rFonts w:hint="eastAsia" w:ascii="宋体" w:hAnsi="宋体" w:eastAsia="宋体" w:cs="宋体"/>
                <w:b/>
                <w:bCs/>
                <w:color w:val="000000" w:themeColor="text1"/>
                <w:kern w:val="0"/>
                <w:sz w:val="24"/>
                <w:szCs w:val="24"/>
              </w:rPr>
              <w:t>1.创新平台建设工程：</w:t>
            </w:r>
            <w:r>
              <w:rPr>
                <w:rFonts w:hint="eastAsia" w:ascii="宋体" w:hAnsi="宋体" w:eastAsia="宋体" w:cs="宋体"/>
                <w:color w:val="000000" w:themeColor="text1"/>
                <w:kern w:val="0"/>
                <w:sz w:val="24"/>
                <w:szCs w:val="24"/>
              </w:rPr>
              <w:t>重点支持工业设计城、广西科技大学洛客设计学院等产学研平台建设。</w:t>
            </w:r>
          </w:p>
          <w:p w14:paraId="6628F83E">
            <w:pPr>
              <w:spacing w:line="360" w:lineRule="auto"/>
              <w:ind w:firstLine="482" w:firstLineChars="200"/>
              <w:jc w:val="left"/>
              <w:rPr>
                <w:rFonts w:hint="eastAsia" w:ascii="宋体" w:hAnsi="宋体" w:eastAsia="宋体" w:cs="宋体"/>
                <w:color w:val="000000" w:themeColor="text1"/>
                <w:kern w:val="0"/>
                <w:sz w:val="24"/>
                <w:szCs w:val="24"/>
              </w:rPr>
            </w:pPr>
            <w:r>
              <w:rPr>
                <w:rFonts w:hint="eastAsia" w:ascii="宋体" w:hAnsi="宋体" w:eastAsia="宋体" w:cs="宋体"/>
                <w:b/>
                <w:bCs/>
                <w:color w:val="000000" w:themeColor="text1"/>
                <w:kern w:val="0"/>
                <w:sz w:val="24"/>
                <w:szCs w:val="24"/>
              </w:rPr>
              <w:t>2.科技服务提升工程：</w:t>
            </w:r>
            <w:r>
              <w:rPr>
                <w:rFonts w:hint="eastAsia" w:ascii="宋体" w:hAnsi="宋体" w:eastAsia="宋体" w:cs="宋体"/>
                <w:color w:val="000000" w:themeColor="text1"/>
                <w:kern w:val="0"/>
                <w:sz w:val="24"/>
                <w:szCs w:val="24"/>
              </w:rPr>
              <w:t>重点推进国家级、自治区级科技孵化器建设，引进培育2-3家科技服务类规上企业。</w:t>
            </w:r>
          </w:p>
        </w:tc>
      </w:tr>
    </w:tbl>
    <w:p w14:paraId="5A282550">
      <w:pPr>
        <w:pStyle w:val="2"/>
        <w:ind w:firstLine="720"/>
        <w:jc w:val="center"/>
        <w:rPr>
          <w:rFonts w:ascii="黑体" w:hAnsi="黑体" w:eastAsia="黑体"/>
          <w:b w:val="0"/>
          <w:color w:val="000000" w:themeColor="text1"/>
          <w:sz w:val="36"/>
          <w:szCs w:val="36"/>
        </w:rPr>
      </w:pPr>
      <w:bookmarkStart w:id="67" w:name="_Toc71816260"/>
      <w:r>
        <w:rPr>
          <w:rFonts w:hint="eastAsia" w:ascii="黑体" w:hAnsi="黑体" w:eastAsia="黑体"/>
          <w:b w:val="0"/>
          <w:color w:val="000000" w:themeColor="text1"/>
          <w:sz w:val="36"/>
          <w:szCs w:val="36"/>
        </w:rPr>
        <w:t>第七章 乡村振兴，高质量建设城乡统筹示范区</w:t>
      </w:r>
      <w:bookmarkEnd w:id="67"/>
    </w:p>
    <w:p w14:paraId="05A91818">
      <w:pPr>
        <w:pStyle w:val="3"/>
        <w:ind w:firstLine="643"/>
        <w:jc w:val="center"/>
        <w:rPr>
          <w:rFonts w:ascii="楷体_GB2312" w:eastAsia="楷体_GB2312"/>
          <w:color w:val="000000" w:themeColor="text1"/>
        </w:rPr>
      </w:pPr>
      <w:bookmarkStart w:id="68" w:name="_Toc71816261"/>
      <w:r>
        <w:rPr>
          <w:rFonts w:hint="eastAsia" w:ascii="楷体_GB2312" w:eastAsia="楷体_GB2312"/>
          <w:color w:val="000000" w:themeColor="text1"/>
        </w:rPr>
        <w:t>第一节 完善城区基础设施建设</w:t>
      </w:r>
      <w:bookmarkEnd w:id="68"/>
    </w:p>
    <w:bookmarkEnd w:id="54"/>
    <w:p w14:paraId="04F194E1">
      <w:pPr>
        <w:ind w:firstLine="640"/>
        <w:jc w:val="both"/>
        <w:rPr>
          <w:rFonts w:ascii="仿宋_GB2312" w:hAnsi="仿宋" w:eastAsia="仿宋_GB2312" w:cs="华文楷体"/>
          <w:color w:val="000000" w:themeColor="text1"/>
          <w:sz w:val="32"/>
          <w:szCs w:val="32"/>
        </w:rPr>
      </w:pPr>
      <w:bookmarkStart w:id="69" w:name="_Toc15185"/>
      <w:r>
        <w:rPr>
          <w:rFonts w:hint="eastAsia" w:ascii="仿宋_GB2312" w:hAnsi="仿宋" w:eastAsia="仿宋_GB2312" w:cs="华文楷体"/>
          <w:color w:val="000000" w:themeColor="text1"/>
          <w:sz w:val="32"/>
          <w:szCs w:val="32"/>
        </w:rPr>
        <w:t>构建对外交通新格局，以重要站点为核心，强化区域交通枢纽地位。加快鹿寨至钦州港高速公路、高速引线和大桥-里雍二级公路等提级改造项目，提升与柳州其他城区、周边县交通联系的便捷度。做好路网衔接和提级改造，打造畅达高效的内部路网体系。高标准、适度超前建设现代化综合市政设施。结合轻轨建设、河流治理、道路整治、旧城改造等，统筹推进地下综合管廊建设，实现水电气热设施协同配置，推进里雍、白沙镇区燃气管道建设。规划里雍镇与主城区“两主三辅三支”和白沙镇与主城区“两主三辅一环一支”的路网衔接布局，增强市区辐射带动作用。合理安排市政设施建设、改造施工时序，确保城市高效运行。完善电网结构，全面提高供电保障能力。推进“海绵城市”建设，加强城市防洪排涝体系。加快老旧小区改造，加快实施东环大道南段西侧（八中东侧）片区改造、燎原路—九头山片区旧城改造项目、水南炮团路以南片区改造、九头山路润澄针织公司及周边片区改造、屏山大道屏山电脑市场改造、社湾路水南六组及水山北侧片区旧城改造土地熟化项目、罐头岭及周边片区改造。加强老旧小区停车资源整合，新建居民小区原则上一户一位，逐步实现城区公共停车资源统筹管理。结合文化品牌建设内容，打造城市微空间景观，营造富有民族特色、人文内涵和文化品位的城区环境。</w:t>
      </w:r>
    </w:p>
    <w:p w14:paraId="40CF2DC1">
      <w:pPr>
        <w:pStyle w:val="3"/>
        <w:ind w:firstLine="643"/>
        <w:jc w:val="center"/>
        <w:rPr>
          <w:rFonts w:ascii="楷体_GB2312" w:eastAsia="楷体_GB2312"/>
          <w:color w:val="000000" w:themeColor="text1"/>
        </w:rPr>
      </w:pPr>
      <w:bookmarkStart w:id="70" w:name="_Toc71816262"/>
      <w:r>
        <w:rPr>
          <w:rFonts w:hint="eastAsia" w:ascii="楷体_GB2312" w:eastAsia="楷体_GB2312"/>
          <w:color w:val="000000" w:themeColor="text1"/>
        </w:rPr>
        <w:t>第二节 加快推进产城融合</w:t>
      </w:r>
      <w:bookmarkEnd w:id="70"/>
    </w:p>
    <w:p w14:paraId="5D7C214C">
      <w:pPr>
        <w:ind w:firstLine="640"/>
        <w:jc w:val="both"/>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加快城区老旧小区改造，积极推进辖区内具有商业潜力的国有旧厂房更新改造，突出文化创意，打造新的文化商业街区。结合城市轻轨建设，积极发展轻轨经济带。改造提升滨江传统商业核心板块和水南商务集聚板块，在传统百货、餐饮和住宿基础上，积极发展金融保险和新型服务业态，推进业态提质、税收增量。进一步优化营商环境，建设人才创新创业基地，加快数字经济及新经济新业态聚集。加快鱼峰区工业园发展，聚焦大健康制造业发展，加强基础设施建设，提升公共服务水平，加快产业园区从单一的生产型园区经济向综合型城市经济转型。结合跨江大桥和高速公路及引线建设，实施里雍镇高速公路出口环道等重要连接线和路网建设，打造全国汽车及零部件采购总部和区域商品汽车集散中心，</w:t>
      </w:r>
      <w:r>
        <w:rPr>
          <w:rFonts w:hint="eastAsia" w:ascii="仿宋_GB2312" w:hAnsi="仿宋" w:eastAsia="仿宋_GB2312" w:cs="仿宋"/>
          <w:color w:val="000000" w:themeColor="text1"/>
          <w:sz w:val="32"/>
          <w:szCs w:val="32"/>
          <w:lang w:val="zh-TW"/>
        </w:rPr>
        <w:t>依托螺蛳粉产业园</w:t>
      </w:r>
      <w:r>
        <w:rPr>
          <w:rFonts w:hint="eastAsia" w:ascii="仿宋_GB2312" w:hAnsi="仿宋" w:eastAsia="仿宋_GB2312" w:cs="仿宋"/>
          <w:color w:val="000000" w:themeColor="text1"/>
          <w:sz w:val="32"/>
          <w:szCs w:val="32"/>
        </w:rPr>
        <w:t>和生物医药</w:t>
      </w:r>
      <w:r>
        <w:rPr>
          <w:rFonts w:hint="eastAsia" w:ascii="仿宋_GB2312" w:hAnsi="仿宋" w:eastAsia="仿宋_GB2312" w:cs="仿宋"/>
          <w:color w:val="000000" w:themeColor="text1"/>
          <w:sz w:val="32"/>
          <w:szCs w:val="32"/>
          <w:lang w:val="zh-TW"/>
        </w:rPr>
        <w:t>辐射带动，打造现代特色农业示范区</w:t>
      </w:r>
      <w:r>
        <w:rPr>
          <w:rFonts w:hint="eastAsia" w:ascii="仿宋_GB2312" w:hAnsi="仿宋" w:eastAsia="仿宋_GB2312" w:cs="仿宋"/>
          <w:color w:val="000000" w:themeColor="text1"/>
          <w:sz w:val="32"/>
          <w:szCs w:val="32"/>
        </w:rPr>
        <w:t>和</w:t>
      </w:r>
      <w:r>
        <w:rPr>
          <w:rFonts w:hint="eastAsia" w:ascii="仿宋_GB2312" w:hAnsi="仿宋" w:eastAsia="仿宋_GB2312" w:cs="仿宋"/>
          <w:color w:val="000000" w:themeColor="text1"/>
          <w:sz w:val="32"/>
          <w:szCs w:val="32"/>
          <w:lang w:val="zh-TW"/>
        </w:rPr>
        <w:t>现代中草药林下经济种植基地，</w:t>
      </w:r>
      <w:r>
        <w:rPr>
          <w:rFonts w:hint="eastAsia" w:ascii="仿宋_GB2312" w:hAnsi="仿宋" w:eastAsia="仿宋_GB2312" w:cs="仿宋"/>
          <w:color w:val="000000" w:themeColor="text1"/>
          <w:sz w:val="32"/>
          <w:szCs w:val="32"/>
        </w:rPr>
        <w:t>大力发展休闲农业和乡村旅游。</w:t>
      </w:r>
    </w:p>
    <w:p w14:paraId="7982FC9A">
      <w:pPr>
        <w:pStyle w:val="3"/>
        <w:spacing w:line="480" w:lineRule="auto"/>
        <w:ind w:firstLine="643"/>
        <w:jc w:val="center"/>
        <w:rPr>
          <w:rFonts w:ascii="楷体_GB2312" w:eastAsia="楷体_GB2312"/>
          <w:color w:val="000000" w:themeColor="text1"/>
        </w:rPr>
      </w:pPr>
      <w:bookmarkStart w:id="71" w:name="_Toc43896792"/>
      <w:bookmarkStart w:id="72" w:name="_Toc58281856"/>
      <w:bookmarkStart w:id="73" w:name="_Toc71816263"/>
      <w:r>
        <w:rPr>
          <w:rFonts w:hint="eastAsia" w:ascii="楷体_GB2312" w:eastAsia="楷体_GB2312"/>
          <w:color w:val="000000" w:themeColor="text1"/>
        </w:rPr>
        <w:t>第三节 实施乡村振兴</w:t>
      </w:r>
      <w:bookmarkEnd w:id="71"/>
      <w:r>
        <w:rPr>
          <w:rFonts w:hint="eastAsia" w:ascii="楷体_GB2312" w:eastAsia="楷体_GB2312"/>
          <w:color w:val="000000" w:themeColor="text1"/>
        </w:rPr>
        <w:t>战略</w:t>
      </w:r>
      <w:bookmarkEnd w:id="72"/>
      <w:bookmarkEnd w:id="73"/>
    </w:p>
    <w:p w14:paraId="78ACBCE2">
      <w:pPr>
        <w:tabs>
          <w:tab w:val="left" w:pos="6217"/>
        </w:tabs>
        <w:ind w:firstLine="640"/>
        <w:jc w:val="both"/>
        <w:rPr>
          <w:rFonts w:ascii="仿宋_GB2312" w:hAnsi="仿宋" w:eastAsia="仿宋_GB2312" w:cs="华文楷体"/>
          <w:color w:val="000000" w:themeColor="text1"/>
          <w:sz w:val="32"/>
          <w:szCs w:val="32"/>
        </w:rPr>
      </w:pPr>
      <w:r>
        <w:rPr>
          <w:rFonts w:hint="eastAsia" w:ascii="仿宋_GB2312" w:hAnsi="仿宋" w:eastAsia="仿宋_GB2312" w:cs="华文楷体"/>
          <w:color w:val="000000" w:themeColor="text1"/>
          <w:sz w:val="32"/>
          <w:szCs w:val="32"/>
        </w:rPr>
        <w:t>坚持城乡融合发展理念，以新型城镇化带动乡村振兴战略实施，打造现代农业体系。重点加强里雍镇、白沙镇国土空间规划编制和监督实施，夯实乡村规划工作基础，提高乡村地区规划管理水平，加快编制“多规合一”的实用性村庄规划，优化农村生产、生活和生态空间。深化农村改革，发展多种形式适度规模经营，实现小农户和现代农业有机衔接。稳定粮食生产，大力发展现代特色农业，大力发展油茶、柑橘等经济林和中药材、食用菌等林下经济，“十四五”时期基本完成“退桉还林”任务，加强农村基础设施建设，加大农业水利设施建设力度，加强农村饮水安全改造提升和人居环境整治，推进重点村燃气管道建设，提升农房建设质量，健全森林防火体系，推进农村防火改造工作。采取多种方式大力发展新型农村集体经济，实施美丽乡村提升行动，建设一批特色鲜明的“美丽乡村”。推进村干部职业化，加强乡村振兴人才队伍建设。将里雍镇、白沙镇打造成为农业休闲旅游重要目的地，现代特色农业示范区和螺蛳粉配料原料生产基地，民族文化保护传承基地，大健康产业基地，夯实乡村振兴基础。健全农村社会保障和救助制度，健全防止返贫监测和帮扶机制，巩固拓展脱贫攻坚成果。</w:t>
      </w:r>
    </w:p>
    <w:tbl>
      <w:tblPr>
        <w:tblStyle w:val="10"/>
        <w:tblW w:w="8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0"/>
      </w:tblGrid>
      <w:tr w14:paraId="1C3B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120" w:type="dxa"/>
          </w:tcPr>
          <w:p w14:paraId="30722401">
            <w:pPr>
              <w:tabs>
                <w:tab w:val="left" w:pos="6217"/>
              </w:tabs>
              <w:spacing w:line="360" w:lineRule="auto"/>
              <w:ind w:firstLine="480" w:firstLineChars="200"/>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专栏：乡村振兴重点工程</w:t>
            </w:r>
          </w:p>
        </w:tc>
      </w:tr>
      <w:tr w14:paraId="504C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8120" w:type="dxa"/>
          </w:tcPr>
          <w:p w14:paraId="3C508CC3">
            <w:pPr>
              <w:widowControl/>
              <w:spacing w:line="360" w:lineRule="auto"/>
              <w:ind w:firstLine="482" w:firstLineChars="200"/>
              <w:jc w:val="left"/>
              <w:rPr>
                <w:rFonts w:hint="eastAsia" w:ascii="宋体" w:hAnsi="宋体" w:eastAsia="宋体" w:cs="宋体"/>
                <w:color w:val="000000" w:themeColor="text1"/>
                <w:kern w:val="0"/>
                <w:sz w:val="24"/>
                <w:szCs w:val="24"/>
              </w:rPr>
            </w:pPr>
            <w:r>
              <w:rPr>
                <w:rFonts w:hint="eastAsia" w:ascii="宋体" w:hAnsi="宋体" w:eastAsia="宋体" w:cs="宋体"/>
                <w:b/>
                <w:color w:val="000000" w:themeColor="text1"/>
                <w:kern w:val="0"/>
                <w:sz w:val="24"/>
                <w:szCs w:val="24"/>
              </w:rPr>
              <w:t>1.产业兴旺工程：</w:t>
            </w:r>
            <w:r>
              <w:rPr>
                <w:rFonts w:hint="eastAsia" w:ascii="宋体" w:hAnsi="宋体" w:eastAsia="宋体" w:cs="宋体"/>
                <w:color w:val="000000" w:themeColor="text1"/>
                <w:kern w:val="0"/>
                <w:sz w:val="24"/>
                <w:szCs w:val="24"/>
              </w:rPr>
              <w:t>围绕螺蛳粉产业，加强现代特色农业示范区建设。实施“退桉还林”工程，实施柑橘、油茶基地建设，发展中草药、食用菌等林下经济项目，实施休闲农业和乡村旅游示范项目。</w:t>
            </w:r>
          </w:p>
          <w:p w14:paraId="6624FFE9">
            <w:pPr>
              <w:widowControl/>
              <w:spacing w:line="360" w:lineRule="auto"/>
              <w:ind w:firstLine="482" w:firstLineChars="200"/>
              <w:jc w:val="left"/>
              <w:rPr>
                <w:rFonts w:hint="eastAsia" w:ascii="宋体" w:hAnsi="宋体" w:eastAsia="宋体" w:cs="宋体"/>
                <w:color w:val="000000" w:themeColor="text1"/>
                <w:kern w:val="0"/>
                <w:sz w:val="24"/>
                <w:szCs w:val="24"/>
              </w:rPr>
            </w:pPr>
            <w:r>
              <w:rPr>
                <w:rFonts w:hint="eastAsia" w:ascii="宋体" w:hAnsi="宋体" w:eastAsia="宋体" w:cs="宋体"/>
                <w:b/>
                <w:color w:val="000000" w:themeColor="text1"/>
                <w:kern w:val="0"/>
                <w:sz w:val="24"/>
                <w:szCs w:val="24"/>
              </w:rPr>
              <w:t>2.环境优化工程：</w:t>
            </w:r>
            <w:r>
              <w:rPr>
                <w:rFonts w:hint="eastAsia" w:ascii="宋体" w:hAnsi="宋体" w:eastAsia="宋体" w:cs="宋体"/>
                <w:color w:val="000000" w:themeColor="text1"/>
                <w:kern w:val="0"/>
                <w:sz w:val="24"/>
                <w:szCs w:val="24"/>
              </w:rPr>
              <w:t>大力实施生态系统保护与恢复工程，实施新一轮石漠化综合治理等林业重点生态工程，建设“四好农村公路”，实施重点村燃气管道建设项目，实施“美丽乡村”，实施“厕所革命”推进行动。</w:t>
            </w:r>
          </w:p>
          <w:p w14:paraId="1A375DCF">
            <w:pPr>
              <w:widowControl/>
              <w:spacing w:line="360" w:lineRule="auto"/>
              <w:ind w:firstLine="482" w:firstLineChars="200"/>
              <w:jc w:val="left"/>
              <w:rPr>
                <w:rFonts w:hint="eastAsia" w:ascii="宋体" w:hAnsi="宋体" w:eastAsia="宋体" w:cs="宋体"/>
                <w:color w:val="000000" w:themeColor="text1"/>
                <w:kern w:val="0"/>
                <w:sz w:val="24"/>
                <w:szCs w:val="24"/>
              </w:rPr>
            </w:pPr>
            <w:r>
              <w:rPr>
                <w:rFonts w:hint="eastAsia" w:ascii="宋体" w:hAnsi="宋体" w:eastAsia="宋体" w:cs="宋体"/>
                <w:b/>
                <w:color w:val="000000" w:themeColor="text1"/>
                <w:kern w:val="0"/>
                <w:sz w:val="24"/>
                <w:szCs w:val="24"/>
              </w:rPr>
              <w:t>3.文化兴盛工程：</w:t>
            </w:r>
            <w:r>
              <w:rPr>
                <w:rFonts w:hint="eastAsia" w:ascii="宋体" w:hAnsi="宋体" w:eastAsia="宋体" w:cs="宋体"/>
                <w:color w:val="000000" w:themeColor="text1"/>
                <w:kern w:val="0"/>
                <w:sz w:val="24"/>
                <w:szCs w:val="24"/>
              </w:rPr>
              <w:t>实施文艺创作精品工程，村级文艺体育队伍扶持工程。</w:t>
            </w:r>
          </w:p>
          <w:p w14:paraId="0DA79994">
            <w:pPr>
              <w:widowControl/>
              <w:spacing w:line="360" w:lineRule="auto"/>
              <w:ind w:firstLine="482" w:firstLineChars="200"/>
              <w:jc w:val="left"/>
              <w:rPr>
                <w:rFonts w:hint="eastAsia" w:ascii="宋体" w:hAnsi="宋体" w:eastAsia="宋体" w:cs="宋体"/>
                <w:color w:val="000000" w:themeColor="text1"/>
                <w:kern w:val="0"/>
                <w:sz w:val="24"/>
                <w:szCs w:val="24"/>
              </w:rPr>
            </w:pPr>
            <w:r>
              <w:rPr>
                <w:rFonts w:hint="eastAsia" w:ascii="宋体" w:hAnsi="宋体" w:eastAsia="宋体" w:cs="宋体"/>
                <w:b/>
                <w:color w:val="000000" w:themeColor="text1"/>
                <w:kern w:val="0"/>
                <w:sz w:val="24"/>
                <w:szCs w:val="24"/>
              </w:rPr>
              <w:t>4.治理提升工程：</w:t>
            </w:r>
            <w:r>
              <w:rPr>
                <w:rFonts w:hint="eastAsia" w:ascii="宋体" w:hAnsi="宋体" w:eastAsia="宋体" w:cs="宋体"/>
                <w:bCs/>
                <w:color w:val="000000" w:themeColor="text1"/>
                <w:kern w:val="0"/>
                <w:sz w:val="24"/>
                <w:szCs w:val="24"/>
              </w:rPr>
              <w:t>村干职业化工程，法治乡村建设工程，大学生志愿服务西部计划加强村干部队伍工程</w:t>
            </w:r>
            <w:r>
              <w:rPr>
                <w:rFonts w:hint="eastAsia" w:ascii="宋体" w:hAnsi="宋体" w:eastAsia="宋体" w:cs="宋体"/>
                <w:color w:val="000000" w:themeColor="text1"/>
                <w:kern w:val="0"/>
                <w:sz w:val="24"/>
                <w:szCs w:val="24"/>
              </w:rPr>
              <w:t>。</w:t>
            </w:r>
          </w:p>
          <w:p w14:paraId="6E107B4B">
            <w:pPr>
              <w:widowControl/>
              <w:spacing w:line="360" w:lineRule="auto"/>
              <w:ind w:firstLine="482" w:firstLineChars="200"/>
              <w:jc w:val="left"/>
              <w:rPr>
                <w:rFonts w:hint="eastAsia" w:ascii="宋体" w:hAnsi="宋体" w:eastAsia="宋体" w:cs="宋体"/>
                <w:color w:val="000000" w:themeColor="text1"/>
                <w:kern w:val="0"/>
                <w:sz w:val="24"/>
                <w:szCs w:val="24"/>
              </w:rPr>
            </w:pPr>
            <w:r>
              <w:rPr>
                <w:rFonts w:hint="eastAsia" w:ascii="宋体" w:hAnsi="宋体" w:eastAsia="宋体" w:cs="宋体"/>
                <w:b/>
                <w:color w:val="000000" w:themeColor="text1"/>
                <w:kern w:val="0"/>
                <w:sz w:val="24"/>
                <w:szCs w:val="24"/>
              </w:rPr>
              <w:t>5.惠民富民工程：</w:t>
            </w:r>
            <w:r>
              <w:rPr>
                <w:rFonts w:hint="eastAsia" w:ascii="宋体" w:hAnsi="宋体" w:eastAsia="宋体" w:cs="宋体"/>
                <w:color w:val="000000" w:themeColor="text1"/>
                <w:kern w:val="0"/>
                <w:sz w:val="24"/>
                <w:szCs w:val="24"/>
              </w:rPr>
              <w:t>实施农村创业创新和农民就业增收工程，实施乡村就业创业促进行动，加快实施农村致富带头人培育工程和返乡创业计划，实施壮大村级集体经济工程。</w:t>
            </w:r>
          </w:p>
          <w:p w14:paraId="4DED01D4">
            <w:pPr>
              <w:widowControl/>
              <w:spacing w:line="360" w:lineRule="auto"/>
              <w:ind w:firstLine="482" w:firstLineChars="200"/>
              <w:jc w:val="left"/>
              <w:rPr>
                <w:rFonts w:hint="eastAsia" w:ascii="宋体" w:hAnsi="宋体" w:eastAsia="宋体" w:cs="宋体"/>
                <w:color w:val="000000" w:themeColor="text1"/>
                <w:kern w:val="0"/>
                <w:sz w:val="24"/>
                <w:szCs w:val="24"/>
              </w:rPr>
            </w:pPr>
            <w:r>
              <w:rPr>
                <w:rFonts w:hint="eastAsia" w:ascii="宋体" w:hAnsi="宋体" w:eastAsia="宋体" w:cs="宋体"/>
                <w:b/>
                <w:color w:val="000000" w:themeColor="text1"/>
                <w:kern w:val="0"/>
                <w:sz w:val="24"/>
                <w:szCs w:val="24"/>
              </w:rPr>
              <w:t>6.体制改革工程：</w:t>
            </w:r>
            <w:r>
              <w:rPr>
                <w:rFonts w:hint="eastAsia" w:ascii="宋体" w:hAnsi="宋体" w:eastAsia="宋体" w:cs="宋体"/>
                <w:color w:val="000000" w:themeColor="text1"/>
                <w:kern w:val="0"/>
                <w:sz w:val="24"/>
                <w:szCs w:val="24"/>
              </w:rPr>
              <w:t>稳定和完善农村基本经营制度、健全严格规范农村土地管理制度、完善农业支持保护制度、建立现代农村金融制度、健全农村民主管理制度。</w:t>
            </w:r>
          </w:p>
        </w:tc>
      </w:tr>
    </w:tbl>
    <w:p w14:paraId="6D7CCCA1">
      <w:pPr>
        <w:tabs>
          <w:tab w:val="left" w:pos="6217"/>
        </w:tabs>
        <w:ind w:firstLine="640"/>
        <w:jc w:val="left"/>
        <w:rPr>
          <w:rFonts w:ascii="仿宋" w:hAnsi="仿宋" w:eastAsia="仿宋" w:cs="华文楷体"/>
          <w:color w:val="000000" w:themeColor="text1"/>
          <w:sz w:val="32"/>
          <w:szCs w:val="32"/>
        </w:rPr>
      </w:pPr>
    </w:p>
    <w:p w14:paraId="1755801B">
      <w:pPr>
        <w:pStyle w:val="3"/>
        <w:ind w:firstLine="643"/>
        <w:jc w:val="center"/>
        <w:rPr>
          <w:rFonts w:ascii="楷体_GB2312" w:eastAsia="楷体_GB2312"/>
          <w:color w:val="000000" w:themeColor="text1"/>
        </w:rPr>
      </w:pPr>
      <w:bookmarkStart w:id="74" w:name="_Toc58281857"/>
      <w:bookmarkStart w:id="75" w:name="_Toc43896793"/>
      <w:bookmarkStart w:id="76" w:name="_Toc71816264"/>
      <w:r>
        <w:rPr>
          <w:rFonts w:hint="eastAsia" w:ascii="楷体_GB2312" w:eastAsia="楷体_GB2312"/>
          <w:color w:val="000000" w:themeColor="text1"/>
        </w:rPr>
        <w:t>第四节 实施“重点向南”战略</w:t>
      </w:r>
      <w:bookmarkEnd w:id="74"/>
      <w:bookmarkEnd w:id="75"/>
      <w:bookmarkEnd w:id="76"/>
    </w:p>
    <w:p w14:paraId="3EE8A18C">
      <w:pPr>
        <w:ind w:firstLine="640"/>
        <w:jc w:val="both"/>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统筹安排城市资源，拓展城市发展空间，完善城市基础设施、公共服务设施，提高城市综合承载能力，坚持将南部片区开发作为拓展空间转型升级的重要抓手和高质量发展的承载地，大力推进园区先进制造业和现代化服务业深度融合发展。坚持产业定位，加快国土空间规划和其他专项规划的编制，深入推进“多规合一”，实施城乡用地空间重构和耕地高效利用。加快补齐南部片区基础设施短板，大力推动南部片区交通路网建设，积极推进河表工业园区建设。强化南片区教育、文化、医疗、商业等配套服务功能的规划布局。推动窑埠革命文化教育基地、里雍镇烈士公墓、白沙老街红色旅游景点建设，融合休闲农业和乡村旅游、螺蛳粉产业、康复器具制造业、生物制药等产业，强化以工补农、以城带乡，推进城乡高质量发展。</w:t>
      </w:r>
    </w:p>
    <w:p w14:paraId="58A04693">
      <w:pPr>
        <w:pStyle w:val="2"/>
        <w:ind w:firstLine="720"/>
        <w:jc w:val="center"/>
        <w:rPr>
          <w:rFonts w:ascii="黑体" w:hAnsi="黑体" w:eastAsia="黑体"/>
          <w:b w:val="0"/>
          <w:color w:val="000000" w:themeColor="text1"/>
          <w:sz w:val="36"/>
          <w:szCs w:val="36"/>
        </w:rPr>
      </w:pPr>
      <w:bookmarkStart w:id="77" w:name="_Toc71816265"/>
      <w:r>
        <w:rPr>
          <w:rFonts w:hint="eastAsia" w:ascii="黑体" w:hAnsi="黑体" w:eastAsia="黑体"/>
          <w:b w:val="0"/>
          <w:color w:val="000000" w:themeColor="text1"/>
          <w:sz w:val="36"/>
          <w:szCs w:val="36"/>
        </w:rPr>
        <w:t>第八章 民生保障，高质量建设幸福宜居首善区</w:t>
      </w:r>
      <w:bookmarkEnd w:id="69"/>
      <w:bookmarkEnd w:id="77"/>
    </w:p>
    <w:p w14:paraId="021280B0">
      <w:pPr>
        <w:pStyle w:val="3"/>
        <w:ind w:firstLine="643"/>
        <w:jc w:val="center"/>
        <w:rPr>
          <w:rFonts w:ascii="楷体_GB2312" w:eastAsia="楷体_GB2312"/>
          <w:color w:val="000000" w:themeColor="text1"/>
        </w:rPr>
      </w:pPr>
      <w:bookmarkStart w:id="78" w:name="_Toc71816266"/>
      <w:bookmarkStart w:id="79" w:name="_Toc4956"/>
      <w:r>
        <w:rPr>
          <w:rFonts w:hint="eastAsia" w:ascii="楷体_GB2312" w:eastAsia="楷体_GB2312"/>
          <w:color w:val="000000" w:themeColor="text1"/>
        </w:rPr>
        <w:t>第一节 坚持教育优先发展</w:t>
      </w:r>
      <w:bookmarkEnd w:id="78"/>
    </w:p>
    <w:p w14:paraId="29610F8F">
      <w:pPr>
        <w:ind w:firstLine="64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加强党对教育的全面领导，推进中小学校“党建+教育”深度融合，全面贯彻党的教育方针，保证社会主义办学方向，落实立德树人根本任务，办好人民满意教育。</w:t>
      </w:r>
    </w:p>
    <w:p w14:paraId="056B993D">
      <w:pPr>
        <w:ind w:firstLine="643"/>
        <w:rPr>
          <w:rFonts w:ascii="仿宋_GB2312" w:eastAsia="仿宋_GB2312"/>
          <w:color w:val="000000" w:themeColor="text1"/>
          <w:sz w:val="32"/>
          <w:szCs w:val="32"/>
        </w:rPr>
      </w:pPr>
      <w:r>
        <w:rPr>
          <w:rFonts w:hint="eastAsia" w:ascii="仿宋_GB2312" w:eastAsia="仿宋_GB2312"/>
          <w:b/>
          <w:bCs/>
          <w:color w:val="000000" w:themeColor="text1"/>
          <w:sz w:val="32"/>
          <w:szCs w:val="32"/>
        </w:rPr>
        <w:t>推进教育均衡发展。</w:t>
      </w:r>
      <w:r>
        <w:rPr>
          <w:rFonts w:hint="eastAsia" w:ascii="仿宋_GB2312" w:eastAsia="仿宋_GB2312"/>
          <w:color w:val="000000" w:themeColor="text1"/>
          <w:sz w:val="32"/>
          <w:szCs w:val="32"/>
        </w:rPr>
        <w:t>深入实施教育供给侧改革，促进鱼峰区教育优质均衡发展，建设教育强区。改善农村学校和薄弱学校办学条件，缩小校际差距，提高办学质量、提升办学内涵、提炼办学特色。全面推进学区制管理改革，深化集团化办学和“县属轮教”，合理配置办学资源，推进城乡教育一体化，扩大优质教育资源覆盖面，构建开放办学新格局。开展城镇小区配套幼儿园治理工作，积极引入国有资本介入幼教建设模式，不断扩大普惠性学前教育资源供给。优化义务教育学校布局，推进24中等学校红线范围内的增容挖潜项目，推动13中东校区等学校征地扩建项目，促成荣军路中学等新建学校项目。</w:t>
      </w:r>
    </w:p>
    <w:p w14:paraId="077B529D">
      <w:pPr>
        <w:ind w:firstLine="643"/>
        <w:rPr>
          <w:rFonts w:ascii="仿宋_GB2312" w:hAnsi="仿宋" w:eastAsia="仿宋_GB2312" w:cs="仿宋"/>
          <w:color w:val="000000" w:themeColor="text1"/>
          <w:sz w:val="32"/>
          <w:szCs w:val="32"/>
        </w:rPr>
      </w:pPr>
      <w:r>
        <w:rPr>
          <w:rFonts w:hint="eastAsia" w:ascii="仿宋_GB2312" w:hAnsi="仿宋" w:eastAsia="仿宋_GB2312" w:cs="仿宋"/>
          <w:b/>
          <w:bCs/>
          <w:color w:val="000000" w:themeColor="text1"/>
          <w:sz w:val="32"/>
          <w:szCs w:val="32"/>
        </w:rPr>
        <w:t>推动教育普惠提质。</w:t>
      </w:r>
      <w:r>
        <w:rPr>
          <w:rFonts w:hint="eastAsia" w:ascii="仿宋_GB2312" w:hAnsi="仿宋" w:eastAsia="仿宋_GB2312" w:cs="仿宋"/>
          <w:color w:val="000000" w:themeColor="text1"/>
          <w:sz w:val="32"/>
          <w:szCs w:val="32"/>
        </w:rPr>
        <w:t>实现义务教育阶段公立学校全覆盖，民营学校有序退出。推进义务教育教师“县管校聘”工作，提高乡村教师待遇，建设青年教师公寓，优化教师队伍配置。深入实施鱼峰区梯级名师队伍建设项目，继续发挥名师工作室和特级教师工作坊等先进优质团队的领航作用，着力推进教师队伍整体水平提升。开展劳动教育，建设研学教育基地，增强学生实践本领。推进“教育+互联网”发展，加快智慧学校建设，建立健全覆盖中小学各年级各学科的优质数字资源体系。</w:t>
      </w:r>
    </w:p>
    <w:p w14:paraId="6A1A3918">
      <w:pPr>
        <w:ind w:firstLine="643"/>
        <w:rPr>
          <w:rFonts w:hint="eastAsia" w:ascii="仿宋_GB2312" w:hAnsi="仿宋" w:eastAsia="仿宋_GB2312" w:cs="仿宋"/>
          <w:color w:val="000000" w:themeColor="text1"/>
          <w:sz w:val="32"/>
          <w:szCs w:val="32"/>
        </w:rPr>
      </w:pPr>
      <w:r>
        <w:rPr>
          <w:rFonts w:hint="eastAsia" w:ascii="仿宋_GB2312" w:hAnsi="仿宋" w:eastAsia="仿宋_GB2312" w:cs="仿宋"/>
          <w:b/>
          <w:bCs/>
          <w:color w:val="000000" w:themeColor="text1"/>
          <w:sz w:val="32"/>
          <w:szCs w:val="32"/>
        </w:rPr>
        <w:t>深化产教融合。</w:t>
      </w:r>
      <w:r>
        <w:rPr>
          <w:rFonts w:hint="eastAsia" w:ascii="仿宋_GB2312" w:hAnsi="仿宋" w:eastAsia="仿宋_GB2312" w:cs="仿宋"/>
          <w:color w:val="000000" w:themeColor="text1"/>
          <w:sz w:val="32"/>
          <w:szCs w:val="32"/>
        </w:rPr>
        <w:t>推进职业院校和企业联盟、与行业联合、同园区联结，共建实体运作的产教联盟。推动职业院校与行业骨干企业、中小微创新创业型企业围绕产业关键技术、核心工艺和共性问题开展协同创新，加快基础研究成果向产业技术转化。加强与职业院校的合作，健全协同育人机制，形成教育和产业统筹融合、良性互动的发展格局，建设人力资源强区。实施社区教育提升计划，加强社区教育平台建设，提升社区教育机构的综合服务能力。</w:t>
      </w:r>
    </w:p>
    <w:p w14:paraId="019730BD">
      <w:pPr>
        <w:ind w:firstLine="643"/>
        <w:rPr>
          <w:rFonts w:hint="eastAsia" w:ascii="仿宋_GB2312" w:hAnsi="仿宋" w:eastAsia="仿宋_GB2312" w:cs="仿宋"/>
          <w:color w:val="000000" w:themeColor="text1"/>
          <w:sz w:val="32"/>
          <w:szCs w:val="32"/>
        </w:rPr>
      </w:pPr>
    </w:p>
    <w:p w14:paraId="7C20AC3B">
      <w:pPr>
        <w:ind w:firstLine="643"/>
        <w:rPr>
          <w:rFonts w:hint="eastAsia" w:ascii="仿宋_GB2312" w:hAnsi="仿宋" w:eastAsia="仿宋_GB2312" w:cs="仿宋"/>
          <w:color w:val="000000" w:themeColor="text1"/>
          <w:sz w:val="32"/>
          <w:szCs w:val="32"/>
        </w:rPr>
      </w:pPr>
    </w:p>
    <w:tbl>
      <w:tblPr>
        <w:tblStyle w:val="1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072A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49737D10">
            <w:pPr>
              <w:spacing w:line="360" w:lineRule="auto"/>
              <w:ind w:firstLine="480" w:firstLineChars="200"/>
              <w:jc w:val="center"/>
              <w:rPr>
                <w:rFonts w:hint="eastAsia" w:ascii="宋体" w:hAnsi="宋体" w:eastAsia="宋体" w:cs="宋体"/>
                <w:b/>
                <w:bCs/>
                <w:color w:val="000000" w:themeColor="text1"/>
                <w:kern w:val="0"/>
                <w:sz w:val="24"/>
                <w:szCs w:val="24"/>
              </w:rPr>
            </w:pPr>
            <w:r>
              <w:rPr>
                <w:rFonts w:hint="eastAsia" w:ascii="宋体" w:hAnsi="宋体" w:eastAsia="宋体" w:cs="宋体"/>
                <w:color w:val="000000" w:themeColor="text1"/>
                <w:kern w:val="0"/>
                <w:sz w:val="24"/>
                <w:szCs w:val="24"/>
              </w:rPr>
              <w:t>专栏：教育重点工程</w:t>
            </w:r>
          </w:p>
        </w:tc>
      </w:tr>
      <w:tr w14:paraId="047B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1C1AE59D">
            <w:pPr>
              <w:spacing w:beforeLines="50" w:line="360" w:lineRule="auto"/>
              <w:ind w:firstLine="482" w:firstLineChars="200"/>
              <w:rPr>
                <w:rFonts w:hint="eastAsia" w:ascii="宋体" w:hAnsi="宋体" w:eastAsia="宋体" w:cs="宋体"/>
                <w:color w:val="000000" w:themeColor="text1"/>
                <w:kern w:val="0"/>
                <w:sz w:val="24"/>
                <w:szCs w:val="24"/>
              </w:rPr>
            </w:pPr>
            <w:r>
              <w:rPr>
                <w:rFonts w:hint="eastAsia" w:ascii="宋体" w:hAnsi="宋体" w:eastAsia="宋体" w:cs="宋体"/>
                <w:b/>
                <w:bCs/>
                <w:color w:val="000000" w:themeColor="text1"/>
                <w:kern w:val="0"/>
                <w:sz w:val="24"/>
                <w:szCs w:val="24"/>
              </w:rPr>
              <w:t>1. 学前教育：</w:t>
            </w:r>
            <w:r>
              <w:rPr>
                <w:rFonts w:hint="eastAsia" w:ascii="宋体" w:hAnsi="宋体" w:eastAsia="宋体" w:cs="宋体"/>
                <w:color w:val="000000" w:themeColor="text1"/>
                <w:kern w:val="0"/>
                <w:sz w:val="24"/>
                <w:szCs w:val="24"/>
              </w:rPr>
              <w:t>新建白云幼儿园、贤乐幼儿园等公办或公建民营幼儿园。</w:t>
            </w:r>
          </w:p>
          <w:p w14:paraId="1E83FF3A">
            <w:pPr>
              <w:spacing w:line="360" w:lineRule="auto"/>
              <w:ind w:firstLine="482" w:firstLineChars="200"/>
              <w:rPr>
                <w:rFonts w:hint="eastAsia" w:ascii="宋体" w:hAnsi="宋体" w:eastAsia="宋体" w:cs="宋体"/>
                <w:color w:val="000000" w:themeColor="text1"/>
                <w:kern w:val="0"/>
                <w:sz w:val="24"/>
                <w:szCs w:val="24"/>
              </w:rPr>
            </w:pPr>
            <w:r>
              <w:rPr>
                <w:rFonts w:hint="eastAsia" w:ascii="宋体" w:hAnsi="宋体" w:eastAsia="宋体" w:cs="宋体"/>
                <w:b/>
                <w:bCs/>
                <w:color w:val="000000" w:themeColor="text1"/>
                <w:kern w:val="0"/>
                <w:sz w:val="24"/>
                <w:szCs w:val="24"/>
              </w:rPr>
              <w:t>2. 义务教育：</w:t>
            </w:r>
            <w:r>
              <w:rPr>
                <w:rFonts w:hint="eastAsia" w:ascii="宋体" w:hAnsi="宋体" w:eastAsia="宋体" w:cs="宋体"/>
                <w:color w:val="000000" w:themeColor="text1"/>
                <w:kern w:val="0"/>
                <w:sz w:val="24"/>
                <w:szCs w:val="24"/>
              </w:rPr>
              <w:t>规划新建九头山路小学，规划改扩建银桐路小学、燎原路小学、窑埠街小学、西江路小学。规划改扩建羊角山中学、里雍中学、民族中学，推进24中等学校红线范围内的增容挖潜项目，推动13中东校区等学校征地扩建项目，完成荣军路中学等新建学校项目。</w:t>
            </w:r>
          </w:p>
          <w:p w14:paraId="45625B7D">
            <w:pPr>
              <w:spacing w:afterLines="50" w:line="360" w:lineRule="auto"/>
              <w:ind w:firstLine="482" w:firstLineChars="200"/>
              <w:rPr>
                <w:rFonts w:hint="eastAsia" w:ascii="宋体" w:hAnsi="宋体" w:eastAsia="宋体" w:cs="宋体"/>
                <w:color w:val="000000" w:themeColor="text1"/>
                <w:kern w:val="0"/>
                <w:sz w:val="24"/>
                <w:szCs w:val="24"/>
              </w:rPr>
            </w:pPr>
            <w:r>
              <w:rPr>
                <w:rFonts w:hint="eastAsia" w:ascii="宋体" w:hAnsi="宋体" w:eastAsia="宋体" w:cs="宋体"/>
                <w:b/>
                <w:bCs/>
                <w:color w:val="000000" w:themeColor="text1"/>
                <w:kern w:val="0"/>
                <w:sz w:val="24"/>
                <w:szCs w:val="24"/>
              </w:rPr>
              <w:t>3. 产教融合：</w:t>
            </w:r>
            <w:r>
              <w:rPr>
                <w:rFonts w:hint="eastAsia" w:ascii="宋体" w:hAnsi="宋体" w:eastAsia="宋体" w:cs="宋体"/>
                <w:color w:val="000000" w:themeColor="text1"/>
                <w:kern w:val="0"/>
                <w:sz w:val="24"/>
                <w:szCs w:val="24"/>
              </w:rPr>
              <w:t>建设研学教育基地，推进大健康装备产教融合基地、柳州螺蛳粉产业学院等一批产教融合项目。</w:t>
            </w:r>
          </w:p>
        </w:tc>
      </w:tr>
    </w:tbl>
    <w:p w14:paraId="025435CF">
      <w:pPr>
        <w:ind w:firstLine="0" w:firstLineChars="0"/>
        <w:rPr>
          <w:rFonts w:ascii="仿宋" w:hAnsi="仿宋" w:eastAsia="仿宋" w:cs="仿宋"/>
          <w:color w:val="000000" w:themeColor="text1"/>
          <w:sz w:val="32"/>
          <w:szCs w:val="32"/>
        </w:rPr>
      </w:pPr>
    </w:p>
    <w:p w14:paraId="62EE829E">
      <w:pPr>
        <w:pStyle w:val="3"/>
        <w:ind w:firstLine="643"/>
        <w:jc w:val="center"/>
        <w:rPr>
          <w:rFonts w:ascii="楷体_GB2312" w:eastAsia="楷体_GB2312"/>
          <w:color w:val="000000" w:themeColor="text1"/>
        </w:rPr>
      </w:pPr>
      <w:bookmarkStart w:id="80" w:name="_Toc71816267"/>
      <w:r>
        <w:rPr>
          <w:rFonts w:hint="eastAsia" w:ascii="楷体_GB2312" w:eastAsia="楷体_GB2312"/>
          <w:color w:val="000000" w:themeColor="text1"/>
        </w:rPr>
        <w:t>第二节 提高人民收入水平和实现高质量就业</w:t>
      </w:r>
      <w:bookmarkEnd w:id="80"/>
    </w:p>
    <w:p w14:paraId="6ADC92E0">
      <w:pPr>
        <w:ind w:firstLine="643"/>
        <w:rPr>
          <w:rFonts w:ascii="仿宋_GB2312" w:eastAsia="仿宋_GB2312"/>
          <w:color w:val="000000" w:themeColor="text1"/>
          <w:sz w:val="32"/>
          <w:szCs w:val="32"/>
        </w:rPr>
      </w:pPr>
      <w:r>
        <w:rPr>
          <w:rFonts w:hint="eastAsia" w:ascii="仿宋_GB2312" w:eastAsia="仿宋_GB2312"/>
          <w:b/>
          <w:bCs/>
          <w:color w:val="000000" w:themeColor="text1"/>
          <w:sz w:val="32"/>
          <w:szCs w:val="32"/>
        </w:rPr>
        <w:t>提高人民收入水平。</w:t>
      </w:r>
      <w:r>
        <w:rPr>
          <w:rFonts w:hint="eastAsia" w:ascii="仿宋_GB2312" w:eastAsia="仿宋_GB2312"/>
          <w:color w:val="000000" w:themeColor="text1"/>
          <w:sz w:val="32"/>
          <w:szCs w:val="32"/>
        </w:rPr>
        <w:t>结合城区实际完善按要素分配政策配套，鼓励劳动者通过资本、技术、管理等要素参与收入分配。完善以税收、社会保障、转移支付等为主要手段的再分配调节机制。多渠道增加城乡居民财产性收入，加强城乡居民社会保障与救助制度的衔接，实现低收入群体医疗补充政策性保险全覆盖。力争到2030年鱼峰区城乡居民人均年收入比2020年翻一番。</w:t>
      </w:r>
    </w:p>
    <w:p w14:paraId="73A3A27D">
      <w:pPr>
        <w:ind w:firstLine="643"/>
        <w:rPr>
          <w:rFonts w:ascii="仿宋" w:hAnsi="仿宋" w:eastAsia="仿宋" w:cs="仿宋"/>
          <w:color w:val="000000" w:themeColor="text1"/>
          <w:sz w:val="32"/>
          <w:szCs w:val="32"/>
        </w:rPr>
      </w:pPr>
      <w:r>
        <w:rPr>
          <w:rFonts w:hint="eastAsia" w:ascii="仿宋_GB2312" w:hAnsi="仿宋" w:eastAsia="仿宋_GB2312" w:cs="仿宋"/>
          <w:b/>
          <w:bCs/>
          <w:color w:val="000000" w:themeColor="text1"/>
          <w:sz w:val="32"/>
          <w:szCs w:val="32"/>
        </w:rPr>
        <w:t>推动实现高质量就业。</w:t>
      </w:r>
      <w:r>
        <w:rPr>
          <w:rFonts w:hint="eastAsia" w:ascii="仿宋_GB2312" w:hAnsi="仿宋" w:eastAsia="仿宋_GB2312" w:cs="仿宋"/>
          <w:color w:val="000000" w:themeColor="text1"/>
          <w:sz w:val="32"/>
          <w:szCs w:val="32"/>
        </w:rPr>
        <w:t>千方百计稳定和扩大就业，加强落实就业优先政策，实现更充分更高质量就业。健全就业公共服务体系，落实劳动关系协调机制以及终身职业技能培训制度。探索建立辖区企业人才需求数据平台，创新用工需求、就业政策等宣传形式，实施精准吸引人才、招聘用工计划。完善就业困难群体帮扶机制，加大对零就业家庭、残疾人等就业困难人员就业扶持力度。落实积极的就业创业政策，落实创业创新扶持政策，支持创业带动就业。建成满足城区退役军人需求的就业创业孵化基地和创业基地。建设鱼峰区人力资源和劳动力市场，落实“一门式”人力资源相关服务机制。加强人力资源市场监督管理，维护劳动者合法权益。加强就业技能培训，提高辖区就业率和就业质量。</w:t>
      </w:r>
    </w:p>
    <w:p w14:paraId="64FAAA8A">
      <w:pPr>
        <w:pStyle w:val="3"/>
        <w:ind w:firstLine="643"/>
        <w:jc w:val="center"/>
        <w:rPr>
          <w:rFonts w:ascii="楷体_GB2312" w:eastAsia="楷体_GB2312"/>
          <w:color w:val="000000" w:themeColor="text1"/>
        </w:rPr>
      </w:pPr>
      <w:bookmarkStart w:id="81" w:name="_Toc71816268"/>
      <w:r>
        <w:rPr>
          <w:rFonts w:hint="eastAsia" w:ascii="楷体_GB2312" w:eastAsia="楷体_GB2312"/>
          <w:color w:val="000000" w:themeColor="text1"/>
        </w:rPr>
        <w:t>第三节 全力推进健康鱼峰建设</w:t>
      </w:r>
      <w:bookmarkEnd w:id="81"/>
    </w:p>
    <w:p w14:paraId="6887933A">
      <w:pPr>
        <w:ind w:firstLine="643"/>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深入实施健康鱼峰行动。</w:t>
      </w:r>
      <w:r>
        <w:rPr>
          <w:rFonts w:hint="eastAsia" w:ascii="仿宋_GB2312" w:hAnsi="仿宋" w:eastAsia="仿宋_GB2312" w:cs="华文楷体"/>
          <w:color w:val="000000" w:themeColor="text1"/>
          <w:sz w:val="32"/>
          <w:szCs w:val="32"/>
        </w:rPr>
        <w:t>把保障人民健康放在优先发展的战略位置，坚持预防为主的方针，深入实施健康鱼峰行动，全面推进健康促进行动，织牢织密公共卫生防护网，为人民提供全方位全周期健康服务。改革疾病预防控制体系，强化监测预警、风险评估、流行病学调查、应急处置等职能。建立稳定的公共卫生事业投入机制，加强人才队伍建设，改善疾控基础条件，完善公共卫生服务项目，强化基层公共卫生体系。</w:t>
      </w:r>
    </w:p>
    <w:p w14:paraId="1D0AE6A7">
      <w:pPr>
        <w:ind w:firstLine="643"/>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加快医药卫生体制改革。</w:t>
      </w:r>
      <w:r>
        <w:rPr>
          <w:rFonts w:hint="eastAsia" w:ascii="仿宋_GB2312" w:hAnsi="仿宋" w:eastAsia="仿宋_GB2312" w:cs="华文楷体"/>
          <w:color w:val="000000" w:themeColor="text1"/>
          <w:sz w:val="32"/>
          <w:szCs w:val="32"/>
        </w:rPr>
        <w:t>落实医疗机构公共卫生责任，创新医防协同机制。完善突发公共卫生事件监测预警处置机制，健全医疗救治、物资保障体系，提高应对突发公共卫生事件能力。坚持基本医疗卫生事业公益属性，深化医药卫生体制改革，加快优质医疗资源下沉和区域均衡布局，完善分级诊疗体系，加快推进紧密型医联体建设。支持社会办医，深入推进“互联网+医疗健康”的深度融合发展。坚持中西医并重，大力发展中医药事业和产业发展。</w:t>
      </w:r>
    </w:p>
    <w:p w14:paraId="24B861DB">
      <w:pPr>
        <w:ind w:firstLine="643"/>
        <w:rPr>
          <w:rFonts w:ascii="仿宋_GB2312" w:eastAsia="仿宋_GB2312"/>
          <w:color w:val="000000" w:themeColor="text1"/>
          <w:sz w:val="32"/>
          <w:szCs w:val="32"/>
        </w:rPr>
      </w:pPr>
      <w:r>
        <w:rPr>
          <w:rFonts w:hint="eastAsia" w:ascii="仿宋_GB2312" w:eastAsia="仿宋_GB2312"/>
          <w:b/>
          <w:bCs/>
          <w:color w:val="000000" w:themeColor="text1"/>
          <w:sz w:val="32"/>
          <w:szCs w:val="32"/>
        </w:rPr>
        <w:t>提升医养服务水平。</w:t>
      </w:r>
      <w:r>
        <w:rPr>
          <w:rFonts w:hint="eastAsia" w:ascii="仿宋_GB2312" w:eastAsia="仿宋_GB2312"/>
          <w:color w:val="000000" w:themeColor="text1"/>
          <w:sz w:val="32"/>
          <w:szCs w:val="32"/>
        </w:rPr>
        <w:t>提升健康教育、慢病管理和残疾康复服务质量，重视精神卫生、心理健康和职业健康。深入开展爱国卫生运动，促进全民养成文明健康生活方式。积极应对人口老龄化，提高优生优育服务水平，发展3岁以下托育服务体系，促进人口长期均衡发展，提高人口素质。推动养老事业和养老产业协同发展，健全基本养老服务体系，完善以居家为基础、以社区为依托、以机构为补充的医养结合养老服务模式，培育养老新业态。</w:t>
      </w:r>
    </w:p>
    <w:tbl>
      <w:tblPr>
        <w:tblStyle w:val="1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2B99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2823842D">
            <w:pPr>
              <w:spacing w:line="360" w:lineRule="auto"/>
              <w:ind w:firstLine="480" w:firstLineChars="200"/>
              <w:jc w:val="center"/>
              <w:rPr>
                <w:rFonts w:hint="eastAsia" w:ascii="宋体" w:hAnsi="宋体" w:eastAsia="宋体" w:cs="宋体"/>
                <w:b/>
                <w:bCs/>
                <w:color w:val="000000" w:themeColor="text1"/>
                <w:kern w:val="0"/>
                <w:sz w:val="24"/>
                <w:szCs w:val="24"/>
              </w:rPr>
            </w:pPr>
            <w:r>
              <w:rPr>
                <w:rFonts w:hint="eastAsia" w:ascii="宋体" w:hAnsi="宋体" w:eastAsia="宋体" w:cs="宋体"/>
                <w:color w:val="000000" w:themeColor="text1"/>
                <w:kern w:val="0"/>
                <w:sz w:val="24"/>
                <w:szCs w:val="24"/>
              </w:rPr>
              <w:t>专栏：医疗健康重点工程</w:t>
            </w:r>
          </w:p>
        </w:tc>
      </w:tr>
      <w:tr w14:paraId="6BEB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1D4C05AA">
            <w:pPr>
              <w:keepNext w:val="0"/>
              <w:keepLines w:val="0"/>
              <w:pageBreakBefore w:val="0"/>
              <w:widowControl w:val="0"/>
              <w:kinsoku/>
              <w:wordWrap/>
              <w:overflowPunct/>
              <w:topLinePunct w:val="0"/>
              <w:autoSpaceDE/>
              <w:autoSpaceDN/>
              <w:bidi w:val="0"/>
              <w:adjustRightInd/>
              <w:snapToGrid/>
              <w:spacing w:beforeLines="50" w:line="360" w:lineRule="auto"/>
              <w:ind w:firstLine="480" w:firstLineChars="200"/>
              <w:textAlignment w:val="auto"/>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r>
              <w:rPr>
                <w:rFonts w:hint="eastAsia" w:ascii="宋体" w:hAnsi="宋体" w:eastAsia="宋体" w:cs="宋体"/>
                <w:b/>
                <w:bCs/>
                <w:color w:val="000000" w:themeColor="text1"/>
                <w:kern w:val="0"/>
                <w:sz w:val="24"/>
                <w:szCs w:val="24"/>
              </w:rPr>
              <w:t>深入推进全民参保计划</w:t>
            </w:r>
            <w:r>
              <w:rPr>
                <w:rFonts w:hint="eastAsia" w:ascii="宋体" w:hAnsi="宋体" w:eastAsia="宋体" w:cs="宋体"/>
                <w:color w:val="000000" w:themeColor="text1"/>
                <w:kern w:val="0"/>
                <w:sz w:val="24"/>
                <w:szCs w:val="24"/>
              </w:rPr>
              <w:t>：加强与公安、税务、教育、卫健、人社、民政、残联、乡镇、街道等部门的联动，加强人员信息比对和共享，精准锁定未参保人群，形成全民参保计划库。</w:t>
            </w:r>
          </w:p>
          <w:p w14:paraId="62658F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b/>
                <w:bCs/>
                <w:color w:val="000000" w:themeColor="text1"/>
                <w:kern w:val="0"/>
                <w:sz w:val="24"/>
                <w:szCs w:val="24"/>
              </w:rPr>
              <w:t>规范社区医保监管</w:t>
            </w:r>
            <w:r>
              <w:rPr>
                <w:rFonts w:hint="eastAsia" w:ascii="宋体" w:hAnsi="宋体" w:eastAsia="宋体" w:cs="宋体"/>
                <w:color w:val="000000" w:themeColor="text1"/>
                <w:kern w:val="0"/>
                <w:sz w:val="24"/>
                <w:szCs w:val="24"/>
              </w:rPr>
              <w:t>：开展对乡镇街道社区等经办机构的日常工作监管，内容包括基础资料是否规范、参保数据是否准确，便民服务是否到位、医保宣传是否常态化管理等各个方面。</w:t>
            </w:r>
          </w:p>
          <w:p w14:paraId="45A708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r>
              <w:rPr>
                <w:rFonts w:hint="eastAsia" w:ascii="宋体" w:hAnsi="宋体" w:eastAsia="宋体" w:cs="宋体"/>
                <w:b/>
                <w:bCs/>
                <w:color w:val="000000" w:themeColor="text1"/>
                <w:kern w:val="0"/>
                <w:sz w:val="24"/>
                <w:szCs w:val="24"/>
              </w:rPr>
              <w:t>推进村卫生室直接结算</w:t>
            </w:r>
            <w:r>
              <w:rPr>
                <w:rFonts w:hint="eastAsia" w:ascii="宋体" w:hAnsi="宋体" w:eastAsia="宋体" w:cs="宋体"/>
                <w:color w:val="000000" w:themeColor="text1"/>
                <w:kern w:val="0"/>
                <w:sz w:val="24"/>
                <w:szCs w:val="24"/>
              </w:rPr>
              <w:t>：积极改善村卫生室的医保结算条件，配合卫健部门推进农村基层医疗机构建设，让农民在家门口就能享受医保惠民政策。</w:t>
            </w:r>
          </w:p>
          <w:p w14:paraId="2FF902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w:t>
            </w:r>
            <w:r>
              <w:rPr>
                <w:rFonts w:hint="eastAsia" w:ascii="宋体" w:hAnsi="宋体" w:eastAsia="宋体" w:cs="宋体"/>
                <w:b/>
                <w:bCs/>
                <w:color w:val="000000" w:themeColor="text1"/>
                <w:kern w:val="0"/>
                <w:sz w:val="24"/>
                <w:szCs w:val="24"/>
              </w:rPr>
              <w:t>深化药品、医用耗材集中采购制度改革</w:t>
            </w:r>
            <w:r>
              <w:rPr>
                <w:rFonts w:hint="eastAsia" w:ascii="宋体" w:hAnsi="宋体" w:eastAsia="宋体" w:cs="宋体"/>
                <w:color w:val="000000" w:themeColor="text1"/>
                <w:kern w:val="0"/>
                <w:sz w:val="24"/>
                <w:szCs w:val="24"/>
              </w:rPr>
              <w:t>：常态化开展药品集中采购工作，组织辖区一级医疗机构积极参加药品、医用耗材集中带量采购，努力推动“三医联动”改革，保障参保群众的用药需求。</w:t>
            </w:r>
          </w:p>
          <w:p w14:paraId="4A479068">
            <w:pPr>
              <w:spacing w:afterLines="50" w:line="360" w:lineRule="auto"/>
              <w:ind w:firstLine="480" w:firstLineChars="20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w:t>
            </w:r>
            <w:r>
              <w:rPr>
                <w:rFonts w:hint="eastAsia" w:ascii="宋体" w:hAnsi="宋体" w:eastAsia="宋体" w:cs="宋体"/>
                <w:b/>
                <w:bCs/>
                <w:color w:val="000000" w:themeColor="text1"/>
                <w:kern w:val="0"/>
                <w:sz w:val="24"/>
                <w:szCs w:val="24"/>
              </w:rPr>
              <w:t>健康养老</w:t>
            </w:r>
            <w:r>
              <w:rPr>
                <w:rFonts w:hint="eastAsia" w:ascii="宋体" w:hAnsi="宋体" w:eastAsia="宋体" w:cs="宋体"/>
                <w:color w:val="000000" w:themeColor="text1"/>
                <w:kern w:val="0"/>
                <w:sz w:val="24"/>
                <w:szCs w:val="24"/>
              </w:rPr>
              <w:t>：建设鱼峰区养老院等医养结合项目。</w:t>
            </w:r>
          </w:p>
        </w:tc>
      </w:tr>
    </w:tbl>
    <w:p w14:paraId="36C42BF0">
      <w:pPr>
        <w:ind w:left="0" w:leftChars="0" w:firstLine="0" w:firstLineChars="0"/>
        <w:rPr>
          <w:rFonts w:eastAsia="仿宋"/>
          <w:color w:val="000000" w:themeColor="text1"/>
          <w:sz w:val="32"/>
          <w:szCs w:val="32"/>
        </w:rPr>
      </w:pPr>
    </w:p>
    <w:p w14:paraId="51925399">
      <w:pPr>
        <w:pStyle w:val="3"/>
        <w:ind w:firstLine="643"/>
        <w:jc w:val="center"/>
        <w:rPr>
          <w:rFonts w:ascii="楷体_GB2312" w:eastAsia="楷体_GB2312"/>
          <w:color w:val="000000" w:themeColor="text1"/>
        </w:rPr>
      </w:pPr>
      <w:bookmarkStart w:id="82" w:name="_Toc71816269"/>
      <w:r>
        <w:rPr>
          <w:rFonts w:hint="eastAsia" w:ascii="楷体_GB2312" w:eastAsia="楷体_GB2312"/>
          <w:color w:val="000000" w:themeColor="text1"/>
        </w:rPr>
        <w:t>第四节 不断完善社会保障</w:t>
      </w:r>
      <w:bookmarkEnd w:id="82"/>
    </w:p>
    <w:p w14:paraId="7353EEFF">
      <w:pPr>
        <w:ind w:firstLine="643"/>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完善城乡社会保障体系。</w:t>
      </w:r>
      <w:r>
        <w:rPr>
          <w:rFonts w:hint="eastAsia" w:ascii="仿宋_GB2312" w:hAnsi="仿宋" w:eastAsia="仿宋_GB2312" w:cs="华文楷体"/>
          <w:color w:val="000000" w:themeColor="text1"/>
          <w:sz w:val="32"/>
          <w:szCs w:val="32"/>
        </w:rPr>
        <w:t>完善城乡居民基本医疗保险制度和城乡居民大病保险制度，基本医疗保险参保率要达到95%以上。落实基本医疗“198”兜底保障政策，完善“一站式”结算服务及“先诊疗、后付费”机制。进一步促进基本医疗保险与大病医保、生育保险、医疗救助深度融合。开展全民参保计划，加强社保基金的管理。完善失业和工伤保险制度，充分发挥失业保险促就业防失业功能。加快推进社会保障信息平台互联互通，实现“一站式服务、一窗口办理、一单制结算”，提高城乡社会保障服务水平。</w:t>
      </w:r>
    </w:p>
    <w:p w14:paraId="47B8A434">
      <w:pPr>
        <w:ind w:firstLine="643"/>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健全社会保障救助体系。</w:t>
      </w:r>
      <w:r>
        <w:rPr>
          <w:rFonts w:hint="eastAsia" w:ascii="仿宋_GB2312" w:hAnsi="仿宋" w:eastAsia="仿宋_GB2312" w:cs="华文楷体"/>
          <w:color w:val="000000" w:themeColor="text1"/>
          <w:sz w:val="32"/>
          <w:szCs w:val="32"/>
        </w:rPr>
        <w:t>提高城乡低保覆盖率，为城镇困难群众构建筑牢基本生活、基本医疗、教育救助、基本住房安全、就业创业、</w:t>
      </w:r>
      <w:r>
        <w:rPr>
          <w:rFonts w:hint="eastAsia" w:ascii="仿宋_GB2312" w:eastAsia="仿宋_GB2312"/>
          <w:color w:val="000000" w:themeColor="text1"/>
          <w:sz w:val="32"/>
          <w:szCs w:val="32"/>
        </w:rPr>
        <w:t>社会保险</w:t>
      </w:r>
      <w:r>
        <w:rPr>
          <w:rFonts w:hint="eastAsia" w:ascii="仿宋_GB2312" w:hAnsi="仿宋" w:eastAsia="仿宋_GB2312" w:cs="华文楷体"/>
          <w:color w:val="000000" w:themeColor="text1"/>
          <w:sz w:val="32"/>
          <w:szCs w:val="32"/>
        </w:rPr>
        <w:t>政策待遇“六条保障线”。完善军人优抚、优待、褒扬、安置机制；完成退役军人服务中心（站）规范化、标准化建设，开展好退役军人优待抚恤、创业就业、褒扬纪念、走访慰问等服务管理工作。完善农村留守儿童和妇女、老年人关爱服务体系,健全残疾人帮扶制度,成立流浪未成年人救助保护机构。</w:t>
      </w:r>
    </w:p>
    <w:p w14:paraId="6DEC99F8">
      <w:pPr>
        <w:pStyle w:val="3"/>
        <w:ind w:firstLine="643"/>
        <w:jc w:val="center"/>
        <w:rPr>
          <w:rFonts w:ascii="楷体_GB2312" w:eastAsia="楷体_GB2312"/>
          <w:color w:val="000000" w:themeColor="text1"/>
        </w:rPr>
      </w:pPr>
      <w:bookmarkStart w:id="83" w:name="_Toc71816270"/>
      <w:r>
        <w:rPr>
          <w:rFonts w:hint="eastAsia" w:ascii="楷体_GB2312" w:eastAsia="楷体_GB2312"/>
          <w:color w:val="000000" w:themeColor="text1"/>
        </w:rPr>
        <w:t>第五节 推进体育事业发展</w:t>
      </w:r>
      <w:bookmarkEnd w:id="83"/>
    </w:p>
    <w:p w14:paraId="0BA35F2D">
      <w:pPr>
        <w:ind w:firstLine="643"/>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大力发展全民健身。</w:t>
      </w:r>
      <w:r>
        <w:rPr>
          <w:rFonts w:hint="eastAsia" w:ascii="仿宋_GB2312" w:hAnsi="仿宋" w:eastAsia="仿宋_GB2312" w:cs="华文楷体"/>
          <w:color w:val="000000" w:themeColor="text1"/>
          <w:sz w:val="32"/>
          <w:szCs w:val="32"/>
        </w:rPr>
        <w:t>实施全民健身提升工程，重点推进鱼峰区体育公园、健身步道等体育场地规划建设与管理利用，充分利用现有城乡公共设施，积极改造建设经济实用的公共健身设施和场所。大力推进体育资源共建共享，鼓励更多公共体育设施和具备开放条件的学校体育场地及设施免费或低收费面向社会开放。普及科学健身知识，推广科学健身方法。</w:t>
      </w:r>
    </w:p>
    <w:p w14:paraId="120D62DC">
      <w:pPr>
        <w:ind w:firstLine="643"/>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实施青少年体育活动促进计划，完善青少年体育评价机制。</w:t>
      </w:r>
      <w:r>
        <w:rPr>
          <w:rFonts w:hint="eastAsia" w:ascii="仿宋_GB2312" w:hAnsi="仿宋" w:eastAsia="仿宋_GB2312" w:cs="华文楷体"/>
          <w:color w:val="000000" w:themeColor="text1"/>
          <w:sz w:val="32"/>
          <w:szCs w:val="32"/>
        </w:rPr>
        <w:t>提高青少年心理素质和身体素质，同时发掘和培养优秀体育运动苗子，向市体育部门输送优秀体育人才。</w:t>
      </w:r>
    </w:p>
    <w:p w14:paraId="7B89C27D">
      <w:pPr>
        <w:ind w:firstLine="643"/>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提升体育组织水平和健身活动水平。</w:t>
      </w:r>
      <w:r>
        <w:rPr>
          <w:rFonts w:hint="eastAsia" w:ascii="仿宋_GB2312" w:hAnsi="仿宋" w:eastAsia="仿宋_GB2312" w:cs="华文楷体"/>
          <w:color w:val="000000" w:themeColor="text1"/>
          <w:sz w:val="32"/>
          <w:szCs w:val="32"/>
        </w:rPr>
        <w:t>配合上级体育部门开展各项体育赛事活动，大力推进体育社会组织的发展。大力推进体育社团社会化、实体化改革。加强基层公共体育服务，广泛开展形式多样的群众性体育活动，提升群众身边的体育组织水平和健身活动水平。</w:t>
      </w:r>
    </w:p>
    <w:p w14:paraId="785B9E00">
      <w:pPr>
        <w:pStyle w:val="3"/>
        <w:ind w:firstLine="643"/>
        <w:jc w:val="center"/>
        <w:rPr>
          <w:rFonts w:ascii="楷体_GB2312" w:eastAsia="楷体_GB2312"/>
          <w:color w:val="000000" w:themeColor="text1"/>
        </w:rPr>
      </w:pPr>
      <w:bookmarkStart w:id="84" w:name="_Toc71816271"/>
      <w:r>
        <w:rPr>
          <w:rFonts w:hint="eastAsia" w:ascii="楷体_GB2312" w:eastAsia="楷体_GB2312"/>
          <w:color w:val="000000" w:themeColor="text1"/>
        </w:rPr>
        <w:t>第六节  促进青年全面健康发展</w:t>
      </w:r>
      <w:bookmarkEnd w:id="84"/>
    </w:p>
    <w:p w14:paraId="7B789964">
      <w:pPr>
        <w:ind w:firstLine="643"/>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完善制度设计。</w:t>
      </w:r>
      <w:r>
        <w:rPr>
          <w:rFonts w:hint="eastAsia" w:ascii="仿宋_GB2312" w:hAnsi="仿宋" w:eastAsia="仿宋_GB2312" w:cs="华文楷体"/>
          <w:color w:val="000000" w:themeColor="text1"/>
          <w:sz w:val="32"/>
          <w:szCs w:val="32"/>
        </w:rPr>
        <w:t>坚持党管青年原则，聚焦14-35周岁青年群体，牢牢把握为实现中华民族伟大复兴中国梦而奋斗的时代主题，将青年有限发展理念落到实处。建立鱼峰区实施《广西壮族自治区中长期青年发展规划（2018—2025年）》联席会议制度，立足强化青年思想道德建设、注重发展青年教育、促进青年健康、服务青年婚恋、推进青年就业创业、培育青年文化、支持青年社会融入与社会参与、维护青年合法权益、预防青年违法犯罪和完善青年社会保障等领域，优化青年成长环境，服务青年紧迫需求，维护青年权益，促进青年全面发展。</w:t>
      </w:r>
    </w:p>
    <w:p w14:paraId="5D2FC3F3">
      <w:pPr>
        <w:ind w:firstLine="643"/>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建立工作机制。</w:t>
      </w:r>
      <w:r>
        <w:rPr>
          <w:rFonts w:hint="eastAsia" w:ascii="仿宋_GB2312" w:hAnsi="仿宋" w:eastAsia="仿宋_GB2312" w:cs="华文楷体"/>
          <w:color w:val="000000" w:themeColor="text1"/>
          <w:sz w:val="32"/>
          <w:szCs w:val="32"/>
        </w:rPr>
        <w:t>发挥职能部门协调作用，建立符合鱼峰区实际的青年发展工作机制，形成党委领导、政府主责、共青团协调、各方齐抓共管青年事务的机制安排，持续推进新时代青年工作，促进鱼峰青年与城市共同发展。</w:t>
      </w:r>
    </w:p>
    <w:p w14:paraId="2116F5B0">
      <w:pPr>
        <w:pStyle w:val="2"/>
        <w:ind w:firstLine="640"/>
        <w:jc w:val="center"/>
        <w:rPr>
          <w:rFonts w:ascii="黑体" w:hAnsi="黑体" w:eastAsia="黑体"/>
          <w:b w:val="0"/>
          <w:color w:val="000000" w:themeColor="text1"/>
          <w:sz w:val="32"/>
          <w:szCs w:val="32"/>
        </w:rPr>
      </w:pPr>
      <w:bookmarkStart w:id="85" w:name="_Toc71816272"/>
      <w:r>
        <w:rPr>
          <w:rFonts w:hint="eastAsia" w:ascii="黑体" w:hAnsi="黑体" w:eastAsia="黑体"/>
          <w:b w:val="0"/>
          <w:color w:val="000000" w:themeColor="text1"/>
          <w:sz w:val="32"/>
          <w:szCs w:val="32"/>
        </w:rPr>
        <w:t>第九章 改革开放 不断开创发展新局面</w:t>
      </w:r>
      <w:bookmarkEnd w:id="79"/>
      <w:bookmarkEnd w:id="85"/>
    </w:p>
    <w:p w14:paraId="7A1D9B68">
      <w:pPr>
        <w:pStyle w:val="3"/>
        <w:ind w:firstLine="643"/>
        <w:jc w:val="center"/>
        <w:rPr>
          <w:rFonts w:ascii="楷体_GB2312" w:eastAsia="楷体_GB2312"/>
          <w:color w:val="000000" w:themeColor="text1"/>
        </w:rPr>
      </w:pPr>
      <w:bookmarkStart w:id="86" w:name="_Toc71816273"/>
      <w:bookmarkStart w:id="87" w:name="_Toc58053723"/>
      <w:bookmarkStart w:id="88" w:name="_Toc59720564"/>
      <w:r>
        <w:rPr>
          <w:rFonts w:hint="eastAsia" w:ascii="楷体_GB2312" w:eastAsia="楷体_GB2312"/>
          <w:color w:val="000000" w:themeColor="text1"/>
        </w:rPr>
        <w:t>第一节 全方位扩大开放</w:t>
      </w:r>
      <w:bookmarkEnd w:id="86"/>
      <w:bookmarkEnd w:id="87"/>
      <w:bookmarkEnd w:id="88"/>
    </w:p>
    <w:p w14:paraId="1CCEF14B">
      <w:pPr>
        <w:ind w:firstLine="643"/>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全方位融入粤港澳大湾区开放合作。</w:t>
      </w:r>
      <w:r>
        <w:rPr>
          <w:rFonts w:hint="eastAsia" w:ascii="仿宋_GB2312" w:hAnsi="仿宋" w:eastAsia="仿宋_GB2312" w:cs="华文楷体"/>
          <w:color w:val="000000" w:themeColor="text1"/>
          <w:sz w:val="32"/>
          <w:szCs w:val="32"/>
        </w:rPr>
        <w:t>围绕“强龙头、补链条、聚集群”，聚焦大健康制造业、高端智能制造等重点产业，加强与大湾区产业补链式对接，积极打造柳州（鱼峰）承接大湾区产业转化基地。依托鱼峰区特色农业和旅游生态资源，培育地理标志、原产地、无公害等优质农产品和地方文旅精品，对接融入大湾区“后花园”。结合“湾企入桂”专项行动，扩大与粤港澳大湾区在产业、文化、科技、旅游等领域合作，着力完善相关政策与服务平台，加快形成全方位、宽领域、多层次的对外开放新格局。</w:t>
      </w:r>
    </w:p>
    <w:p w14:paraId="158B6DBC">
      <w:pPr>
        <w:ind w:firstLine="643"/>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建立跨区域开放合作新机制。</w:t>
      </w:r>
      <w:r>
        <w:rPr>
          <w:rFonts w:hint="eastAsia" w:ascii="仿宋_GB2312" w:hAnsi="仿宋" w:eastAsia="仿宋_GB2312" w:cs="华文楷体"/>
          <w:color w:val="000000" w:themeColor="text1"/>
          <w:sz w:val="32"/>
          <w:szCs w:val="32"/>
        </w:rPr>
        <w:t>充分利用中国-东盟博览会、商务与投资峰会等开放合作平台，开展与东盟国家及“一带一路”沿线国家的合作。主动融入粤桂黔滇高铁经济带、南柳桂经济走廊建设，拓展区域合作新空间。全面融入国内大循环为主体、国内国际双循环相互促进的新发展格局，加快构建全方位、多层次、宽领域、内外联动、双向互济的现代开放体系。</w:t>
      </w:r>
    </w:p>
    <w:p w14:paraId="73C8A077">
      <w:pPr>
        <w:ind w:firstLine="643"/>
        <w:rPr>
          <w:rFonts w:ascii="仿宋_GB2312" w:hAnsi="仿宋" w:eastAsia="仿宋_GB2312" w:cs="华文楷体"/>
          <w:color w:val="000000" w:themeColor="text1"/>
          <w:sz w:val="32"/>
          <w:szCs w:val="32"/>
        </w:rPr>
      </w:pPr>
      <w:r>
        <w:rPr>
          <w:rFonts w:hint="eastAsia" w:ascii="仿宋_GB2312" w:hAnsi="仿宋" w:eastAsia="仿宋_GB2312" w:cs="华文楷体"/>
          <w:b/>
          <w:bCs/>
          <w:color w:val="000000" w:themeColor="text1"/>
          <w:sz w:val="32"/>
          <w:szCs w:val="32"/>
        </w:rPr>
        <w:t>完善开放合作平台。</w:t>
      </w:r>
      <w:r>
        <w:rPr>
          <w:rFonts w:hint="eastAsia" w:ascii="仿宋_GB2312" w:hAnsi="仿宋" w:eastAsia="仿宋_GB2312" w:cs="华文楷体"/>
          <w:color w:val="000000" w:themeColor="text1"/>
          <w:sz w:val="32"/>
          <w:szCs w:val="32"/>
        </w:rPr>
        <w:t>推进园区平台联动发展，推动一批产业园区及大型企业与大湾区园区及企业合作，共同打造“园中园”“共建园”等新模式。扩大服务领域开放合作，鼓励银行证券、中介咨询、会计审计、评级服务、检验检测认证等机构入驻，为企业提供综合服务，助力产业加快发展。</w:t>
      </w:r>
    </w:p>
    <w:p w14:paraId="08FF32EE">
      <w:pPr>
        <w:pStyle w:val="3"/>
        <w:ind w:firstLine="643"/>
        <w:jc w:val="center"/>
        <w:rPr>
          <w:rFonts w:ascii="楷体_GB2312" w:eastAsia="楷体_GB2312"/>
          <w:color w:val="000000" w:themeColor="text1"/>
        </w:rPr>
      </w:pPr>
      <w:bookmarkStart w:id="89" w:name="_Toc71816274"/>
      <w:bookmarkStart w:id="90" w:name="_Toc59720565"/>
      <w:bookmarkStart w:id="91" w:name="_Toc58053724"/>
      <w:r>
        <w:rPr>
          <w:rFonts w:hint="eastAsia" w:ascii="楷体_GB2312" w:eastAsia="楷体_GB2312"/>
          <w:color w:val="000000" w:themeColor="text1"/>
        </w:rPr>
        <w:t>第二节 全面深化改革，打造国内一流营商环境</w:t>
      </w:r>
      <w:bookmarkEnd w:id="89"/>
      <w:bookmarkEnd w:id="90"/>
      <w:bookmarkEnd w:id="91"/>
    </w:p>
    <w:p w14:paraId="1F2895AD">
      <w:pPr>
        <w:ind w:firstLine="643"/>
        <w:jc w:val="both"/>
        <w:rPr>
          <w:rFonts w:ascii="仿宋_GB2312" w:hAnsi="仿宋" w:eastAsia="仿宋_GB2312" w:cs="华文楷体"/>
          <w:color w:val="000000" w:themeColor="text1"/>
          <w:sz w:val="32"/>
          <w:szCs w:val="32"/>
        </w:rPr>
      </w:pPr>
      <w:r>
        <w:rPr>
          <w:rFonts w:hint="eastAsia" w:ascii="仿宋_GB2312" w:hAnsi="仿宋" w:eastAsia="仿宋_GB2312" w:cs="华文楷体"/>
          <w:b/>
          <w:color w:val="000000" w:themeColor="text1"/>
          <w:sz w:val="32"/>
          <w:szCs w:val="32"/>
        </w:rPr>
        <w:t>提升政务服务质量，优化营商环境。</w:t>
      </w:r>
      <w:r>
        <w:rPr>
          <w:rFonts w:hint="eastAsia" w:ascii="仿宋_GB2312" w:hAnsi="仿宋" w:eastAsia="仿宋_GB2312" w:cs="华文楷体"/>
          <w:color w:val="000000" w:themeColor="text1"/>
          <w:sz w:val="32"/>
          <w:szCs w:val="32"/>
        </w:rPr>
        <w:t>深化“放管服”改革，以“最多跑一次”甚至“一次不用跑”为目标，完善城区数字政务审批制度，建成企业和群众办事“一网、一门、一次”政务服务体系。扩展广西政务APP、“魅力鱼峰”微信公众号“微政务”、鱼峰区人民政府微信公众号“政务服务”和自助服务机等数字政务功能，实现“24小时”不打烊政务自助办理。扩大承诺审批事项范围，简化审批环节，为企业建立诚信档案。实现政管向行政审批职能转变，前台受理材料即进入审批程序，减少移交环节和时间，提高审批效率。加大对民营企业的支持力度，构建“亲”、“清”政商关系。建立重点企业撤离鱼峰区倒查制度，凡因营商环境、政务环境问题导致企业撤离的追究相关人员责任。规划期内营商环境评价指标要进入全国先进行列。</w:t>
      </w:r>
    </w:p>
    <w:p w14:paraId="4400361B">
      <w:pPr>
        <w:ind w:firstLine="643"/>
        <w:jc w:val="both"/>
        <w:rPr>
          <w:rFonts w:ascii="仿宋_GB2312" w:hAnsi="仿宋" w:eastAsia="仿宋_GB2312" w:cs="华文楷体"/>
          <w:color w:val="000000" w:themeColor="text1"/>
          <w:sz w:val="32"/>
          <w:szCs w:val="32"/>
        </w:rPr>
      </w:pPr>
      <w:r>
        <w:rPr>
          <w:rFonts w:hint="eastAsia" w:ascii="仿宋_GB2312" w:hAnsi="仿宋" w:eastAsia="仿宋_GB2312" w:cs="华文楷体"/>
          <w:b/>
          <w:color w:val="000000" w:themeColor="text1"/>
          <w:sz w:val="32"/>
          <w:szCs w:val="32"/>
        </w:rPr>
        <w:t>扎实推进要素市场改革。</w:t>
      </w:r>
      <w:r>
        <w:rPr>
          <w:rFonts w:hint="eastAsia" w:ascii="仿宋_GB2312" w:hAnsi="仿宋" w:eastAsia="仿宋_GB2312" w:cs="华文楷体"/>
          <w:color w:val="000000" w:themeColor="text1"/>
          <w:sz w:val="32"/>
          <w:szCs w:val="32"/>
        </w:rPr>
        <w:t>完善规划和土地管理机制，创新产业用地供应配置方式，合理高效利用工业用地。深入推进工业项目“标准地”改革，建立“拿地即开工”机制。开展农村集体产权制度改革，推进白沙镇、里雍镇农村产权流转交易中心试点，全面完成农村集体资产清产核资。推进商事制度改革，降低市场准入门槛，全面实施市场准入负面清单制度，优化市场投资和诚信经营环境。推进用人制度改革，引导劳动力要素合理畅通有序流动。</w:t>
      </w:r>
    </w:p>
    <w:p w14:paraId="361B3BF3">
      <w:pPr>
        <w:ind w:firstLine="643"/>
        <w:jc w:val="both"/>
        <w:rPr>
          <w:rFonts w:ascii="仿宋_GB2312" w:hAnsi="仿宋" w:eastAsia="仿宋_GB2312" w:cs="华文楷体"/>
          <w:color w:val="000000" w:themeColor="text1"/>
          <w:sz w:val="32"/>
          <w:szCs w:val="32"/>
        </w:rPr>
      </w:pPr>
      <w:r>
        <w:rPr>
          <w:rFonts w:hint="eastAsia" w:ascii="仿宋_GB2312" w:hAnsi="仿宋" w:eastAsia="仿宋_GB2312" w:cs="华文楷体"/>
          <w:b/>
          <w:color w:val="000000" w:themeColor="text1"/>
          <w:sz w:val="32"/>
          <w:szCs w:val="32"/>
        </w:rPr>
        <w:t>深化财政与投融资体制改革。</w:t>
      </w:r>
      <w:r>
        <w:rPr>
          <w:rFonts w:hint="eastAsia" w:ascii="仿宋_GB2312" w:hAnsi="仿宋" w:eastAsia="仿宋_GB2312" w:cs="华文楷体"/>
          <w:color w:val="000000" w:themeColor="text1"/>
          <w:sz w:val="32"/>
          <w:szCs w:val="32"/>
        </w:rPr>
        <w:t>加强城区财政资源统筹，加强财政规划管理，增强重大战略规划任务财力保障。改进政府投资方式，进一步提高财政资金以股权投资、投资基金等方式安排的比例，不断扩大政府投资的放大效应。以服务企业需求为导向，完善城区信用社会信用体系建设，搭建方便快捷的企业融资对接平台，积极防范金融风险。大力发展直接融资，强化间接融资服务供给。进一步放开市场准入，推进投资主体多元化，支持鱼峰区重点领域建设。创新公共基础设施投融资体制，推广政府和社会资本合作（PPP）模式，增强政府公共产品和服务供给能力。</w:t>
      </w:r>
    </w:p>
    <w:p w14:paraId="663581B7">
      <w:pPr>
        <w:pStyle w:val="3"/>
        <w:ind w:firstLine="643"/>
        <w:jc w:val="center"/>
        <w:rPr>
          <w:rFonts w:ascii="楷体_GB2312" w:eastAsia="楷体_GB2312"/>
          <w:color w:val="000000" w:themeColor="text1"/>
        </w:rPr>
      </w:pPr>
      <w:bookmarkStart w:id="92" w:name="_Toc58053725"/>
      <w:bookmarkStart w:id="93" w:name="_Toc71816275"/>
      <w:bookmarkStart w:id="94" w:name="_Toc59720566"/>
      <w:r>
        <w:rPr>
          <w:rFonts w:hint="eastAsia" w:ascii="楷体_GB2312" w:eastAsia="楷体_GB2312"/>
          <w:color w:val="000000" w:themeColor="text1"/>
        </w:rPr>
        <w:t>第三节 提高招商水平</w:t>
      </w:r>
      <w:bookmarkEnd w:id="92"/>
      <w:r>
        <w:rPr>
          <w:rFonts w:hint="eastAsia" w:ascii="楷体_GB2312" w:eastAsia="楷体_GB2312"/>
          <w:color w:val="000000" w:themeColor="text1"/>
        </w:rPr>
        <w:t>打造“投资洼地”</w:t>
      </w:r>
      <w:bookmarkEnd w:id="93"/>
      <w:bookmarkEnd w:id="94"/>
    </w:p>
    <w:p w14:paraId="60D4658A">
      <w:pPr>
        <w:ind w:firstLine="643"/>
        <w:rPr>
          <w:rFonts w:ascii="仿宋_GB2312" w:hAnsi="仿宋" w:eastAsia="仿宋_GB2312" w:cs="华文楷体"/>
          <w:color w:val="000000" w:themeColor="text1"/>
          <w:sz w:val="32"/>
          <w:szCs w:val="32"/>
        </w:rPr>
      </w:pPr>
      <w:bookmarkStart w:id="95" w:name="_Hlk57994376"/>
      <w:r>
        <w:rPr>
          <w:rFonts w:hint="eastAsia" w:ascii="仿宋_GB2312" w:hAnsi="仿宋" w:eastAsia="仿宋_GB2312" w:cs="华文楷体"/>
          <w:b/>
          <w:color w:val="000000" w:themeColor="text1"/>
          <w:sz w:val="32"/>
          <w:szCs w:val="32"/>
        </w:rPr>
        <w:t>实施“招大引强”工程。</w:t>
      </w:r>
      <w:r>
        <w:rPr>
          <w:rFonts w:hint="eastAsia" w:ascii="仿宋_GB2312" w:hAnsi="仿宋" w:eastAsia="仿宋_GB2312" w:cs="华文楷体"/>
          <w:color w:val="000000" w:themeColor="text1"/>
          <w:sz w:val="32"/>
          <w:szCs w:val="32"/>
        </w:rPr>
        <w:t>利用国内国际双循环战略机遇，开展“高质量产业大招商”活动，围绕粤港澳大湾区、京津冀、长三角等国内发达地区以及东盟、中欧等国际合作地区，突出重点领域产业链招大引强、引资引智，着力引进一批补链、强链、扩链型项目；引进和扶持生产型出口企业，扩大高新技术和农特产品出口，推动优势产能、特色商品走出去，深度融入国内国际产业链。开展产业招商、科技招商、专题招商、政企联动以商招商、委托招商等多元化的招商模式，提高项目对接成功率，形成招商项目储备一批，洽谈一批、签约一批、落地投产一批的良性循环。强化产业链招商，对接500强企业、央企、知名民企、创新型企业、行业领军企业，把引进战略投资者作为工作主要着力点，努力发展、延伸产业链。对已在鱼峰区立项的各类企业，做到精准对接，建立高层良性互动，多渠道搜集项目投资信息，为招商小分队对接洽谈项目提供目标。“十四五”时期要把鱼峰区打造成为极具吸引力的“投资洼地”。</w:t>
      </w:r>
    </w:p>
    <w:p w14:paraId="24CF651F">
      <w:pPr>
        <w:ind w:firstLine="643"/>
        <w:rPr>
          <w:rFonts w:ascii="仿宋" w:hAnsi="仿宋" w:eastAsia="仿宋" w:cs="华文楷体"/>
          <w:color w:val="000000" w:themeColor="text1"/>
          <w:sz w:val="32"/>
          <w:szCs w:val="32"/>
        </w:rPr>
      </w:pPr>
      <w:r>
        <w:rPr>
          <w:rFonts w:hint="eastAsia" w:ascii="仿宋_GB2312" w:hAnsi="仿宋" w:eastAsia="仿宋_GB2312" w:cs="华文楷体"/>
          <w:b/>
          <w:color w:val="000000" w:themeColor="text1"/>
          <w:sz w:val="32"/>
          <w:szCs w:val="32"/>
        </w:rPr>
        <w:t>“筑巢引凤”做好服务。</w:t>
      </w:r>
      <w:r>
        <w:rPr>
          <w:rFonts w:hint="eastAsia" w:ascii="仿宋_GB2312" w:hAnsi="仿宋" w:eastAsia="仿宋_GB2312" w:cs="华文楷体"/>
          <w:color w:val="000000" w:themeColor="text1"/>
          <w:sz w:val="32"/>
          <w:szCs w:val="32"/>
        </w:rPr>
        <w:t>进一步完善招商引资项目库，特别是主导产业的龙头企业、外资项目和对接粤港澳大湾区招商项目。通过加强市、区相关职能部门联动，加大项目跟踪落实力度，建立在谈、签约、开工、投产项目跟踪管理台账，推动引进项目加快投产、签约项目加快开工。持续营造开放包容、互利合作、重信守诺、亲商清商、尊商爱商、安商富商的良好营商环境，发扬“店小二”精神，竭诚做好各项服务工作，吸引更多企业来鱼峰区投资兴业，实现共赢发展。</w:t>
      </w:r>
    </w:p>
    <w:bookmarkEnd w:id="95"/>
    <w:p w14:paraId="3FDA4893">
      <w:pPr>
        <w:pStyle w:val="3"/>
        <w:ind w:firstLine="643"/>
        <w:jc w:val="center"/>
        <w:rPr>
          <w:rFonts w:ascii="楷体_GB2312" w:eastAsia="楷体_GB2312"/>
          <w:color w:val="000000" w:themeColor="text1"/>
        </w:rPr>
      </w:pPr>
      <w:bookmarkStart w:id="96" w:name="_Toc58053726"/>
      <w:bookmarkStart w:id="97" w:name="_Toc71816276"/>
      <w:bookmarkStart w:id="98" w:name="_Toc59720567"/>
      <w:r>
        <w:rPr>
          <w:rFonts w:hint="eastAsia" w:ascii="楷体_GB2312" w:eastAsia="楷体_GB2312"/>
          <w:color w:val="000000" w:themeColor="text1"/>
        </w:rPr>
        <w:t xml:space="preserve">第四节 </w:t>
      </w:r>
      <w:bookmarkEnd w:id="96"/>
      <w:r>
        <w:rPr>
          <w:rFonts w:hint="eastAsia" w:ascii="楷体_GB2312" w:eastAsia="楷体_GB2312"/>
          <w:color w:val="000000" w:themeColor="text1"/>
        </w:rPr>
        <w:t>打造“人才洼地”</w:t>
      </w:r>
      <w:bookmarkEnd w:id="97"/>
      <w:bookmarkEnd w:id="98"/>
    </w:p>
    <w:p w14:paraId="21AF9BE9">
      <w:pPr>
        <w:ind w:firstLine="643"/>
        <w:jc w:val="both"/>
        <w:rPr>
          <w:rFonts w:ascii="仿宋_GB2312" w:hAnsi="仿宋" w:eastAsia="仿宋_GB2312" w:cs="华文楷体"/>
          <w:color w:val="000000" w:themeColor="text1"/>
          <w:sz w:val="32"/>
          <w:szCs w:val="32"/>
        </w:rPr>
      </w:pPr>
      <w:r>
        <w:rPr>
          <w:rFonts w:hint="eastAsia" w:ascii="仿宋_GB2312" w:hAnsi="仿宋" w:eastAsia="仿宋_GB2312" w:cs="华文楷体"/>
          <w:b/>
          <w:color w:val="000000" w:themeColor="text1"/>
          <w:sz w:val="32"/>
          <w:szCs w:val="32"/>
        </w:rPr>
        <w:t>引进壮大产业人才队伍。</w:t>
      </w:r>
      <w:r>
        <w:rPr>
          <w:rFonts w:hint="eastAsia" w:ascii="仿宋_GB2312" w:hAnsi="仿宋" w:eastAsia="仿宋_GB2312" w:cs="华文楷体"/>
          <w:color w:val="000000" w:themeColor="text1"/>
          <w:sz w:val="32"/>
          <w:szCs w:val="32"/>
        </w:rPr>
        <w:t>紧紧围绕我区“六个新时代产业”发展，加强人才培养和引进，促进人才链与产业链相融合。完善国内外高层次人才引进方式，围绕健康食品、生物制药、医疗器械康复器具等产业链，突出“高精尖缺”的导向，依托重大项目、重点工程、重点平台和产业园区，对具有创新创业能力的高层次人才（团队）进行扶持。通过交流挂职、委托培养等多种方式方法，大力引导高层次人才到公共服务、创新创业领域和基层一线施展才干。加大技能型人才队伍建设，着力培养造就一批“大国工匠”和“金蓝领”，大力引进培养乡村振兴的农村实用人才，提升社会工作人才的治理能力现代化建设水平。</w:t>
      </w:r>
    </w:p>
    <w:p w14:paraId="7B3FD7A6">
      <w:pPr>
        <w:ind w:firstLine="643"/>
        <w:jc w:val="both"/>
        <w:rPr>
          <w:rFonts w:ascii="仿宋_GB2312" w:hAnsi="仿宋" w:eastAsia="仿宋_GB2312" w:cs="华文楷体"/>
          <w:color w:val="000000" w:themeColor="text1"/>
          <w:sz w:val="32"/>
          <w:szCs w:val="32"/>
        </w:rPr>
      </w:pPr>
      <w:r>
        <w:rPr>
          <w:rFonts w:hint="eastAsia" w:ascii="仿宋_GB2312" w:hAnsi="仿宋" w:eastAsia="仿宋_GB2312" w:cs="华文楷体"/>
          <w:b/>
          <w:color w:val="000000" w:themeColor="text1"/>
          <w:sz w:val="32"/>
          <w:szCs w:val="32"/>
        </w:rPr>
        <w:t>实施“企业家培育”工程。</w:t>
      </w:r>
      <w:r>
        <w:rPr>
          <w:rFonts w:hint="eastAsia" w:ascii="仿宋_GB2312" w:hAnsi="仿宋" w:eastAsia="仿宋_GB2312" w:cs="华文楷体"/>
          <w:color w:val="000000" w:themeColor="text1"/>
          <w:sz w:val="32"/>
          <w:szCs w:val="32"/>
        </w:rPr>
        <w:t>充分发挥企业家开拓进取、带动引领作用，引进培育一批敢担当、创新强的企业家，使之成为推动鱼峰区高质量发展的生力军。</w:t>
      </w:r>
    </w:p>
    <w:p w14:paraId="3454B647">
      <w:pPr>
        <w:ind w:firstLine="643"/>
        <w:jc w:val="both"/>
        <w:rPr>
          <w:rFonts w:ascii="仿宋_GB2312" w:hAnsi="仿宋" w:eastAsia="仿宋_GB2312" w:cs="华文楷体"/>
          <w:color w:val="000000" w:themeColor="text1"/>
          <w:sz w:val="32"/>
          <w:szCs w:val="32"/>
        </w:rPr>
      </w:pPr>
      <w:r>
        <w:rPr>
          <w:rFonts w:hint="eastAsia" w:ascii="仿宋_GB2312" w:hAnsi="仿宋" w:eastAsia="仿宋_GB2312" w:cs="华文楷体"/>
          <w:b/>
          <w:color w:val="000000" w:themeColor="text1"/>
          <w:sz w:val="32"/>
          <w:szCs w:val="32"/>
        </w:rPr>
        <w:t>完善人才激励保障制度。</w:t>
      </w:r>
      <w:r>
        <w:rPr>
          <w:rFonts w:hint="eastAsia" w:ascii="仿宋_GB2312" w:hAnsi="仿宋" w:eastAsia="仿宋_GB2312" w:cs="华文楷体"/>
          <w:color w:val="000000" w:themeColor="text1"/>
          <w:sz w:val="32"/>
          <w:szCs w:val="32"/>
        </w:rPr>
        <w:t>完善创新人才激励政策，通过实施创新型企业、科技成果转化、创新型人才税收激励等政策，吸引集聚区内外各类创新创业人才。健全人才服务保障体系，为人才到鱼峰区安家落户、科技研发、医疗保障、子女入学和配偶就业等提供周到、便捷、优质服务。</w:t>
      </w:r>
    </w:p>
    <w:p w14:paraId="6800EFA6">
      <w:pPr>
        <w:pStyle w:val="2"/>
        <w:ind w:firstLine="720"/>
        <w:jc w:val="center"/>
        <w:rPr>
          <w:rFonts w:ascii="黑体" w:hAnsi="黑体" w:eastAsia="黑体"/>
          <w:b w:val="0"/>
          <w:color w:val="000000" w:themeColor="text1"/>
          <w:sz w:val="36"/>
          <w:szCs w:val="36"/>
        </w:rPr>
      </w:pPr>
      <w:bookmarkStart w:id="99" w:name="_Toc71816277"/>
      <w:bookmarkStart w:id="100" w:name="_Toc56528639"/>
      <w:r>
        <w:rPr>
          <w:rFonts w:hint="eastAsia" w:ascii="黑体" w:hAnsi="黑体" w:eastAsia="黑体"/>
          <w:b w:val="0"/>
          <w:color w:val="000000" w:themeColor="text1"/>
          <w:sz w:val="36"/>
          <w:szCs w:val="36"/>
        </w:rPr>
        <w:t>第十章 生态振兴，加强生态文明建设</w:t>
      </w:r>
      <w:bookmarkEnd w:id="99"/>
      <w:bookmarkEnd w:id="100"/>
    </w:p>
    <w:p w14:paraId="6325C260">
      <w:pPr>
        <w:pStyle w:val="3"/>
        <w:ind w:firstLine="643"/>
        <w:jc w:val="center"/>
        <w:rPr>
          <w:rFonts w:ascii="楷体_GB2312" w:eastAsia="楷体_GB2312"/>
          <w:color w:val="000000" w:themeColor="text1"/>
        </w:rPr>
      </w:pPr>
      <w:bookmarkStart w:id="101" w:name="_Toc71816278"/>
      <w:bookmarkStart w:id="102" w:name="_Toc56528640"/>
      <w:r>
        <w:rPr>
          <w:rFonts w:hint="eastAsia" w:ascii="楷体_GB2312" w:eastAsia="楷体_GB2312"/>
          <w:color w:val="000000" w:themeColor="text1"/>
        </w:rPr>
        <w:t>第一节 建设生态园林城区</w:t>
      </w:r>
      <w:bookmarkEnd w:id="101"/>
      <w:bookmarkEnd w:id="102"/>
    </w:p>
    <w:p w14:paraId="35C5D20B">
      <w:pPr>
        <w:ind w:firstLine="640"/>
        <w:jc w:val="both"/>
        <w:rPr>
          <w:rFonts w:ascii="仿宋_GB2312" w:hAnsi="仿宋" w:eastAsia="仿宋_GB2312" w:cs="仿宋"/>
          <w:color w:val="000000" w:themeColor="text1"/>
          <w:sz w:val="32"/>
          <w:szCs w:val="32"/>
        </w:rPr>
      </w:pPr>
      <w:bookmarkStart w:id="103" w:name="_Toc56528641"/>
      <w:r>
        <w:rPr>
          <w:rFonts w:hint="eastAsia" w:ascii="仿宋_GB2312" w:hAnsi="仿宋" w:eastAsia="仿宋_GB2312" w:cs="仿宋"/>
          <w:color w:val="000000" w:themeColor="text1"/>
          <w:sz w:val="32"/>
          <w:szCs w:val="32"/>
        </w:rPr>
        <w:t>以国家生态园林城区创建为主线，通过“公园体系、森林体系、湿地体系”三大体系和“廊道网络、绿道网络”两大网络建设，完善鱼峰区生态网络，提升鱼峰区生态空间品质，将鱼峰区打造成最具特色、最具魅力、最富活动的生态园林城区。按照居民出行500-1000米进入公园绿地的要求，加快推进“城区公园绿地10分钟服务圈”规划建设，提高公园绿地的可达性。老城区和中心城区、里雍镇、白沙镇和工业园区等不同区域，要因地制宜制定切实可行的“增绿建园”方案和措施，力争在十四五末公园绿地面积达到14</w:t>
      </w:r>
      <w:r>
        <w:rPr>
          <w:rFonts w:hint="eastAsia" w:ascii="仿宋_GB2312" w:hAnsi="仿宋" w:eastAsia="仿宋" w:cs="仿宋"/>
          <w:color w:val="000000" w:themeColor="text1"/>
          <w:sz w:val="32"/>
          <w:szCs w:val="32"/>
          <w:shd w:val="clear" w:color="auto" w:fill="FFFFFF"/>
        </w:rPr>
        <w:t>㎡</w:t>
      </w:r>
      <w:r>
        <w:rPr>
          <w:rFonts w:hint="eastAsia" w:ascii="仿宋_GB2312" w:hAnsi="仿宋" w:eastAsia="仿宋_GB2312" w:cs="仿宋"/>
          <w:color w:val="000000" w:themeColor="text1"/>
          <w:sz w:val="32"/>
          <w:szCs w:val="32"/>
          <w:shd w:val="clear" w:color="auto" w:fill="FFFFFF"/>
        </w:rPr>
        <w:t>/人以上。推动镇（街道）公园建设，实现“一镇一公园”和“一街道一公园”的全覆盖。</w:t>
      </w:r>
      <w:r>
        <w:rPr>
          <w:rFonts w:hint="eastAsia" w:ascii="仿宋_GB2312" w:hAnsi="仿宋" w:eastAsia="仿宋_GB2312" w:cs="仿宋"/>
          <w:color w:val="000000" w:themeColor="text1"/>
          <w:sz w:val="32"/>
          <w:szCs w:val="32"/>
        </w:rPr>
        <w:t>开展海绵型城市绿地系统规划研究，在满足生态、景观、游憩等功能的基础上，提高城区绿地系统的渗水、蓄水、净水等海绵体功能。</w:t>
      </w:r>
    </w:p>
    <w:bookmarkEnd w:id="103"/>
    <w:p w14:paraId="62F2840F">
      <w:pPr>
        <w:pStyle w:val="3"/>
        <w:numPr>
          <w:ilvl w:val="0"/>
          <w:numId w:val="3"/>
        </w:numPr>
        <w:ind w:firstLine="643"/>
        <w:jc w:val="center"/>
        <w:rPr>
          <w:rFonts w:ascii="楷体_GB2312" w:eastAsia="楷体_GB2312"/>
          <w:color w:val="000000" w:themeColor="text1"/>
        </w:rPr>
      </w:pPr>
      <w:bookmarkStart w:id="104" w:name="_Toc71816279"/>
      <w:r>
        <w:rPr>
          <w:rFonts w:hint="eastAsia" w:ascii="楷体_GB2312" w:eastAsia="楷体_GB2312"/>
          <w:color w:val="000000" w:themeColor="text1"/>
        </w:rPr>
        <w:t>持续改善生态环境质量</w:t>
      </w:r>
      <w:bookmarkEnd w:id="104"/>
    </w:p>
    <w:p w14:paraId="1339ABEE">
      <w:pPr>
        <w:ind w:firstLine="64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实施最严格的环境保护制度和最严厉的法治，增强全社会生态环保意识，巩固污染防治攻坚战成果，让鱼峰区天更蓝、地更绿、水更清、空气更清新。加强工业企业污染防控，全面推进重点工业企业挥发性有机物排放综合治理。坚持产业高端化战略，实施更严格的新增产业的禁止和限制目录。推动城区扬尘污染治理提档升级，建立重污染天气监测预警体系，</w:t>
      </w:r>
      <w:r>
        <w:rPr>
          <w:rFonts w:hint="eastAsia" w:ascii="仿宋_GB2312" w:hAnsi="仿宋" w:eastAsia="仿宋_GB2312" w:cs="仿宋"/>
          <w:bCs/>
          <w:color w:val="000000" w:themeColor="text1"/>
          <w:sz w:val="32"/>
          <w:szCs w:val="32"/>
        </w:rPr>
        <w:t>狠抓秸秆焚烧</w:t>
      </w:r>
      <w:r>
        <w:rPr>
          <w:rFonts w:hint="eastAsia" w:ascii="仿宋_GB2312" w:hAnsi="仿宋" w:eastAsia="仿宋_GB2312" w:cs="仿宋"/>
          <w:color w:val="000000" w:themeColor="text1"/>
          <w:sz w:val="32"/>
          <w:szCs w:val="32"/>
        </w:rPr>
        <w:t>防治行动，继续深化扬尘、秸秆、餐饮等面源污染治理。系统推进水污染防治、水生态保护和水资源管理，全面实行排污许可制，深化重点领域、重点流域水污染防治，推进城镇污水管网全覆盖。强化城区污水处理配套设施，推行农药化肥减量行动和农业生产废弃物资源化利用行动，提升农村水环境综合治理能力。统筹城乡垃圾处理设施布局，推进城乡生活垃圾分类治理，提高垃圾处理的现代化水平，加快推进静脉产业园生活垃圾焚烧等项目,以及垃圾无害化设施建设，提升无害化处理能力。加大柳江流域里雍、白沙段保护力度，扎实推行“河长制”工作，有效打击非法采砂，整治企业违规排污，开展清除违建砂场和清理岸线垃圾行动。</w:t>
      </w:r>
    </w:p>
    <w:p w14:paraId="747567E5">
      <w:pPr>
        <w:pStyle w:val="3"/>
        <w:numPr>
          <w:ilvl w:val="0"/>
          <w:numId w:val="3"/>
        </w:numPr>
        <w:ind w:firstLine="643"/>
        <w:jc w:val="center"/>
        <w:rPr>
          <w:rFonts w:ascii="楷体_GB2312" w:eastAsia="楷体_GB2312"/>
          <w:color w:val="000000" w:themeColor="text1"/>
        </w:rPr>
      </w:pPr>
      <w:bookmarkStart w:id="105" w:name="_Toc71816280"/>
      <w:r>
        <w:rPr>
          <w:rFonts w:hint="eastAsia" w:ascii="楷体_GB2312" w:eastAsia="楷体_GB2312"/>
          <w:color w:val="000000" w:themeColor="text1"/>
        </w:rPr>
        <w:t>加快推动绿色低碳发展</w:t>
      </w:r>
      <w:bookmarkEnd w:id="105"/>
    </w:p>
    <w:p w14:paraId="70175AF3">
      <w:pPr>
        <w:pStyle w:val="15"/>
        <w:snapToGrid/>
        <w:spacing w:line="560" w:lineRule="exact"/>
        <w:rPr>
          <w:rFonts w:hAnsi="仿宋" w:eastAsia="仿宋_GB2312" w:cs="仿宋"/>
          <w:color w:val="000000" w:themeColor="text1"/>
          <w:sz w:val="32"/>
          <w:szCs w:val="32"/>
        </w:rPr>
      </w:pPr>
      <w:r>
        <w:rPr>
          <w:rFonts w:hint="eastAsia" w:hAnsi="仿宋" w:eastAsia="仿宋_GB2312" w:cs="仿宋"/>
          <w:color w:val="000000" w:themeColor="text1"/>
          <w:sz w:val="32"/>
          <w:szCs w:val="32"/>
        </w:rPr>
        <w:t>加强绿色低碳城区建设，强化鱼峰区绿色发展的政策保障，支持绿色技术创新，推进清洁生产，推进重点行业和重要领域绿色化改造，发展绿色建筑。构建绿色低碳生产生活方式，开展绿色生活创建活动，建设鱼峰区绿色发展教育平台，引导公众积极践行绿色生活方式和绿色消费行为。</w:t>
      </w:r>
      <w:r>
        <w:rPr>
          <w:rStyle w:val="16"/>
          <w:rFonts w:hint="eastAsia" w:hAnsi="仿宋" w:eastAsia="仿宋_GB2312" w:cs="仿宋"/>
          <w:bCs/>
          <w:color w:val="000000" w:themeColor="text1"/>
          <w:sz w:val="32"/>
          <w:szCs w:val="32"/>
        </w:rPr>
        <w:t>加快城乡各种废弃物资源化利用，培育发展资源循环利用产业。</w:t>
      </w:r>
      <w:r>
        <w:rPr>
          <w:rFonts w:hint="eastAsia" w:hAnsi="仿宋" w:eastAsia="仿宋_GB2312" w:cs="仿宋"/>
          <w:color w:val="000000" w:themeColor="text1"/>
          <w:sz w:val="32"/>
          <w:szCs w:val="32"/>
        </w:rPr>
        <w:t>全面落实政府绿色采购制度，优先采购自主创新的节能环保产品和设备，提倡无纸化办公。</w:t>
      </w:r>
      <w:bookmarkStart w:id="106" w:name="_Toc430443963"/>
      <w:bookmarkStart w:id="107" w:name="_Toc431134987"/>
    </w:p>
    <w:p w14:paraId="751DE687">
      <w:pPr>
        <w:pStyle w:val="3"/>
        <w:ind w:firstLine="643"/>
        <w:jc w:val="center"/>
        <w:rPr>
          <w:rFonts w:ascii="楷体_GB2312" w:eastAsia="楷体_GB2312"/>
          <w:color w:val="000000" w:themeColor="text1"/>
        </w:rPr>
      </w:pPr>
      <w:bookmarkStart w:id="108" w:name="_Toc71816281"/>
      <w:r>
        <w:rPr>
          <w:rFonts w:hint="eastAsia" w:ascii="楷体_GB2312" w:eastAsia="楷体_GB2312"/>
          <w:color w:val="000000" w:themeColor="text1"/>
        </w:rPr>
        <w:t>第四节 健全生态文明制度体系</w:t>
      </w:r>
      <w:bookmarkEnd w:id="108"/>
    </w:p>
    <w:bookmarkEnd w:id="106"/>
    <w:bookmarkEnd w:id="107"/>
    <w:p w14:paraId="7FA5F769">
      <w:pPr>
        <w:pStyle w:val="8"/>
        <w:spacing w:line="560" w:lineRule="exact"/>
        <w:ind w:firstLine="640"/>
        <w:rPr>
          <w:rFonts w:hAnsi="仿宋" w:eastAsia="仿宋_GB2312" w:cs="仿宋"/>
          <w:color w:val="000000" w:themeColor="text1"/>
          <w:spacing w:val="-8"/>
          <w:sz w:val="32"/>
          <w:szCs w:val="32"/>
        </w:rPr>
      </w:pPr>
      <w:r>
        <w:rPr>
          <w:rFonts w:hint="eastAsia" w:hAnsi="仿宋" w:eastAsia="仿宋_GB2312" w:cs="仿宋"/>
          <w:color w:val="000000" w:themeColor="text1"/>
          <w:sz w:val="32"/>
          <w:szCs w:val="32"/>
        </w:rPr>
        <w:t>实行更严格的生态文明标准，</w:t>
      </w:r>
      <w:r>
        <w:rPr>
          <w:rStyle w:val="16"/>
          <w:rFonts w:hint="eastAsia" w:hAnsi="仿宋" w:eastAsia="仿宋_GB2312" w:cs="仿宋"/>
          <w:color w:val="000000" w:themeColor="text1"/>
          <w:kern w:val="0"/>
          <w:sz w:val="32"/>
          <w:szCs w:val="32"/>
        </w:rPr>
        <w:t>完善源头预防、过程控制、损害赔偿、责任追究的生态环境保护体系。完善生态保护红线监管制度，</w:t>
      </w:r>
      <w:r>
        <w:rPr>
          <w:rFonts w:hint="eastAsia" w:hAnsi="仿宋" w:eastAsia="仿宋_GB2312" w:cs="仿宋"/>
          <w:color w:val="000000" w:themeColor="text1"/>
          <w:sz w:val="32"/>
          <w:szCs w:val="32"/>
        </w:rPr>
        <w:t>严守资源环境生态红线，设定并严守资源消耗上限、环境质量底线、生态保护红线，各类活动严格限制在资</w:t>
      </w:r>
      <w:r>
        <w:rPr>
          <w:rFonts w:hint="eastAsia" w:hAnsi="仿宋" w:eastAsia="仿宋_GB2312" w:cs="仿宋"/>
          <w:color w:val="000000" w:themeColor="text1"/>
          <w:spacing w:val="-8"/>
          <w:sz w:val="32"/>
          <w:szCs w:val="32"/>
        </w:rPr>
        <w:t>源环境承载力之内。</w:t>
      </w:r>
      <w:r>
        <w:rPr>
          <w:rFonts w:hint="eastAsia" w:hAnsi="仿宋" w:eastAsia="仿宋_GB2312" w:cs="仿宋"/>
          <w:color w:val="000000" w:themeColor="text1"/>
          <w:sz w:val="32"/>
          <w:szCs w:val="32"/>
        </w:rPr>
        <w:t>强化国土空间规划和用途管控，落实生态保护、基本农田、城镇开发等空间管控边界。</w:t>
      </w:r>
      <w:bookmarkStart w:id="109" w:name="_Toc430443961"/>
      <w:bookmarkStart w:id="110" w:name="_Toc431134985"/>
      <w:r>
        <w:rPr>
          <w:rFonts w:hint="eastAsia" w:hAnsi="仿宋" w:eastAsia="仿宋_GB2312" w:cs="仿宋"/>
          <w:color w:val="000000" w:themeColor="text1"/>
          <w:sz w:val="32"/>
          <w:szCs w:val="32"/>
        </w:rPr>
        <w:t>严格审查涉及占用永久基本农田、生态保护红线、自然保护区的用地，切实保护好耕地。大力降低水资源消耗，提倡节约用水，加快节水设施建设，将里雍镇、白沙镇打造成节水乡镇。落实生态环境保护督查制度，</w:t>
      </w:r>
      <w:r>
        <w:rPr>
          <w:rFonts w:hint="eastAsia" w:hAnsi="仿宋" w:eastAsia="仿宋_GB2312" w:cs="仿宋"/>
          <w:color w:val="000000" w:themeColor="text1"/>
          <w:sz w:val="32"/>
          <w:szCs w:val="32"/>
          <w:shd w:val="clear" w:color="auto" w:fill="FFFFFF"/>
        </w:rPr>
        <w:t>强化排放主体责任，严格标准执法，完善市场化、多元化的生态补偿机制，形成政府、企业、公众共治的环境治理体系。</w:t>
      </w:r>
    </w:p>
    <w:bookmarkEnd w:id="109"/>
    <w:bookmarkEnd w:id="110"/>
    <w:p w14:paraId="7DD39625">
      <w:pPr>
        <w:pStyle w:val="2"/>
        <w:ind w:firstLine="0" w:firstLineChars="0"/>
        <w:jc w:val="center"/>
        <w:rPr>
          <w:rFonts w:ascii="黑体" w:hAnsi="黑体" w:eastAsia="黑体"/>
          <w:b w:val="0"/>
          <w:color w:val="000000" w:themeColor="text1"/>
          <w:sz w:val="36"/>
          <w:szCs w:val="36"/>
        </w:rPr>
      </w:pPr>
      <w:bookmarkStart w:id="111" w:name="_Toc56528650"/>
      <w:bookmarkStart w:id="112" w:name="_Toc71816282"/>
      <w:r>
        <w:rPr>
          <w:rFonts w:hint="eastAsia" w:ascii="黑体" w:hAnsi="黑体" w:eastAsia="黑体"/>
          <w:b w:val="0"/>
          <w:color w:val="000000" w:themeColor="text1"/>
          <w:sz w:val="36"/>
          <w:szCs w:val="36"/>
        </w:rPr>
        <w:t xml:space="preserve">第十一章 法治引领 </w:t>
      </w:r>
      <w:bookmarkEnd w:id="111"/>
      <w:r>
        <w:rPr>
          <w:rFonts w:hint="eastAsia" w:ascii="黑体" w:hAnsi="黑体" w:eastAsia="黑体"/>
          <w:b w:val="0"/>
          <w:color w:val="000000" w:themeColor="text1"/>
          <w:sz w:val="36"/>
          <w:szCs w:val="36"/>
        </w:rPr>
        <w:t>推进治理体系治理能力现代化</w:t>
      </w:r>
      <w:bookmarkEnd w:id="112"/>
    </w:p>
    <w:p w14:paraId="601CC0DE">
      <w:pPr>
        <w:pStyle w:val="3"/>
        <w:ind w:firstLine="643"/>
        <w:jc w:val="center"/>
        <w:rPr>
          <w:rFonts w:ascii="楷体_GB2312" w:eastAsia="楷体_GB2312"/>
          <w:color w:val="000000" w:themeColor="text1"/>
        </w:rPr>
      </w:pPr>
      <w:bookmarkStart w:id="113" w:name="_Toc56528651"/>
      <w:bookmarkStart w:id="114" w:name="_Toc71816283"/>
      <w:r>
        <w:rPr>
          <w:rFonts w:hint="eastAsia" w:ascii="楷体_GB2312" w:eastAsia="楷体_GB2312"/>
          <w:color w:val="000000" w:themeColor="text1"/>
        </w:rPr>
        <w:t>第一节 健全公共防疫及应急管理体系</w:t>
      </w:r>
      <w:bookmarkEnd w:id="113"/>
      <w:bookmarkEnd w:id="114"/>
    </w:p>
    <w:p w14:paraId="04C5152C">
      <w:pPr>
        <w:pStyle w:val="18"/>
        <w:ind w:firstLine="640"/>
        <w:jc w:val="both"/>
        <w:rPr>
          <w:rFonts w:ascii="仿宋_GB2312" w:hAnsi="仿宋" w:eastAsia="仿宋_GB2312" w:cs="仿宋"/>
          <w:color w:val="000000" w:themeColor="text1"/>
          <w:sz w:val="32"/>
          <w:szCs w:val="32"/>
        </w:rPr>
      </w:pPr>
      <w:bookmarkStart w:id="115" w:name="_Toc56528652"/>
      <w:r>
        <w:rPr>
          <w:rFonts w:hint="eastAsia" w:ascii="仿宋_GB2312" w:hAnsi="仿宋" w:eastAsia="仿宋_GB2312" w:cs="仿宋"/>
          <w:color w:val="000000" w:themeColor="text1"/>
          <w:sz w:val="32"/>
          <w:szCs w:val="32"/>
        </w:rPr>
        <w:t>加快公共卫生应急管理体系建设</w:t>
      </w:r>
      <w:bookmarkEnd w:id="115"/>
      <w:r>
        <w:rPr>
          <w:rFonts w:hint="eastAsia" w:ascii="仿宋_GB2312" w:hAnsi="仿宋" w:eastAsia="仿宋_GB2312" w:cs="仿宋"/>
          <w:color w:val="000000" w:themeColor="text1"/>
          <w:sz w:val="32"/>
          <w:szCs w:val="32"/>
        </w:rPr>
        <w:t>，</w:t>
      </w:r>
      <w:r>
        <w:rPr>
          <w:rFonts w:hint="eastAsia" w:ascii="仿宋_GB2312" w:hAnsi="仿宋" w:eastAsia="仿宋_GB2312" w:cs="仿宋"/>
          <w:color w:val="000000" w:themeColor="text1"/>
          <w:sz w:val="32"/>
          <w:szCs w:val="32"/>
          <w:shd w:val="clear" w:color="auto" w:fill="FFFFFF"/>
        </w:rPr>
        <w:t>将各类公共卫生应急设施布局规划作为重要的国土空间专项规划。在编制和实施公共卫生应急设施布局规划时，合理确定各级医疗卫生设施配置标准，着力破解医疗机构覆盖范围的局限。</w:t>
      </w:r>
      <w:r>
        <w:rPr>
          <w:rFonts w:hint="eastAsia" w:ascii="仿宋_GB2312" w:hAnsi="仿宋" w:eastAsia="仿宋_GB2312" w:cs="仿宋"/>
          <w:color w:val="000000" w:themeColor="text1"/>
          <w:sz w:val="32"/>
          <w:szCs w:val="32"/>
        </w:rPr>
        <w:t>强化应急物资保障体系建设，强化综合防灾和公共卫生安全风险防范与应急意识，建立完善的公共卫生安全应急防控体系。修订完善《鱼峰区突发公共事件卫生应急预案》，加强急救中心、疾控中心、传染病医院、传染科及传染门诊的建设，有效预防、及时控制和消除突发事件所引起的公共卫生危害。</w:t>
      </w:r>
    </w:p>
    <w:p w14:paraId="7C6A7EE9">
      <w:pPr>
        <w:pStyle w:val="3"/>
        <w:ind w:firstLine="643"/>
        <w:jc w:val="center"/>
        <w:rPr>
          <w:rFonts w:ascii="楷体_GB2312" w:eastAsia="楷体_GB2312"/>
          <w:color w:val="000000" w:themeColor="text1"/>
        </w:rPr>
      </w:pPr>
      <w:bookmarkStart w:id="116" w:name="_Toc71816284"/>
      <w:r>
        <w:rPr>
          <w:rFonts w:hint="eastAsia" w:ascii="楷体_GB2312" w:eastAsia="楷体_GB2312"/>
          <w:color w:val="000000" w:themeColor="text1"/>
        </w:rPr>
        <w:t>第二节 加强法治鱼峰建设</w:t>
      </w:r>
      <w:bookmarkEnd w:id="116"/>
    </w:p>
    <w:p w14:paraId="0513967C">
      <w:pPr>
        <w:ind w:firstLine="640"/>
        <w:rPr>
          <w:rStyle w:val="16"/>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建设法治政府，提高依法行政水平。</w:t>
      </w:r>
      <w:r>
        <w:rPr>
          <w:rStyle w:val="16"/>
          <w:rFonts w:hint="eastAsia" w:ascii="仿宋_GB2312" w:hAnsi="仿宋" w:eastAsia="仿宋_GB2312" w:cs="仿宋"/>
          <w:color w:val="000000" w:themeColor="text1"/>
          <w:sz w:val="32"/>
          <w:szCs w:val="32"/>
        </w:rPr>
        <w:t>深化司法体制改革，完善监察权、审判权、检察权运行和监督机制，促进司法公正。扎实推进“平安鱼峰”建设，推动公检法等部门基础设施水平及能力提升，建设智慧法院、智慧检务、智慧公安、智慧司法。加强法治社会建设，</w:t>
      </w:r>
      <w:r>
        <w:rPr>
          <w:rFonts w:hint="eastAsia" w:ascii="仿宋_GB2312" w:hAnsi="仿宋" w:eastAsia="仿宋_GB2312" w:cs="仿宋"/>
          <w:color w:val="000000" w:themeColor="text1"/>
          <w:sz w:val="32"/>
          <w:szCs w:val="32"/>
        </w:rPr>
        <w:t>落实普法责任制和媒体公益普法制度，</w:t>
      </w:r>
      <w:r>
        <w:rPr>
          <w:rStyle w:val="16"/>
          <w:rFonts w:hint="eastAsia" w:ascii="仿宋_GB2312" w:hAnsi="仿宋" w:eastAsia="仿宋_GB2312" w:cs="仿宋"/>
          <w:color w:val="000000" w:themeColor="text1"/>
          <w:sz w:val="32"/>
          <w:szCs w:val="32"/>
        </w:rPr>
        <w:t>深入开展法制宣传教育和创建活动，</w:t>
      </w:r>
      <w:r>
        <w:rPr>
          <w:rFonts w:hint="eastAsia" w:ascii="仿宋_GB2312" w:hAnsi="仿宋" w:eastAsia="仿宋_GB2312" w:cs="仿宋"/>
          <w:color w:val="000000" w:themeColor="text1"/>
          <w:sz w:val="32"/>
          <w:szCs w:val="32"/>
        </w:rPr>
        <w:t>增强全民法治观念。依法推进社会治安综合治理，加强综合行政执法队伍建设，严格落实党委（党组）国家安全责任制，把安全法治贯穿经济社会法治各领域和全过程。严格落实消防安全责任制，进一步提升公众安全感和满意度。完善守法诚信褒奖机制和违法失信行为惩戒机制，健全公民和组织守法信用记录，完善违法失信行为惩戒机制，实行失信发布制度，建立严重失信黑名单制度和市场退出机制，综合运用市场性、行政监管性、行业自律性、司法性等惩戒手段进行惩罚，形成扬善抑恶的制度机制和社会环境。</w:t>
      </w:r>
    </w:p>
    <w:p w14:paraId="60933C88">
      <w:pPr>
        <w:pStyle w:val="3"/>
        <w:ind w:firstLine="643"/>
        <w:jc w:val="center"/>
        <w:rPr>
          <w:rFonts w:ascii="楷体_GB2312" w:eastAsia="楷体_GB2312"/>
          <w:color w:val="000000" w:themeColor="text1"/>
        </w:rPr>
      </w:pPr>
      <w:bookmarkStart w:id="117" w:name="_Toc71816285"/>
      <w:r>
        <w:rPr>
          <w:rFonts w:hint="eastAsia" w:ascii="楷体_GB2312" w:eastAsia="楷体_GB2312"/>
          <w:color w:val="000000" w:themeColor="text1"/>
        </w:rPr>
        <w:t>第三节 加强和创新社会治理</w:t>
      </w:r>
      <w:bookmarkEnd w:id="117"/>
    </w:p>
    <w:p w14:paraId="04A9ACC4">
      <w:pPr>
        <w:ind w:firstLine="660"/>
        <w:rPr>
          <w:rFonts w:hint="eastAsia" w:ascii="仿宋_GB2312" w:eastAsia="仿宋_GB2312"/>
          <w:color w:val="000000" w:themeColor="text1"/>
          <w:sz w:val="32"/>
          <w:szCs w:val="32"/>
        </w:rPr>
      </w:pPr>
      <w:r>
        <w:rPr>
          <w:rFonts w:hint="eastAsia" w:ascii="仿宋_GB2312" w:hAnsi="仿宋" w:eastAsia="仿宋_GB2312" w:cs="仿宋"/>
          <w:color w:val="000000" w:themeColor="text1"/>
          <w:spacing w:val="5"/>
          <w:sz w:val="32"/>
          <w:szCs w:val="32"/>
          <w:shd w:val="clear" w:color="auto" w:fill="FFFFFF"/>
        </w:rPr>
        <w:t>坚持共建共治共享方向，完善社会治理体系，健全党组织领导的自治、法治、德治相结合的城乡基层治理体系，完善基层民主协商制度，实现政府治理同社会调节、居民自治良性互动，建设人人有责、人人尽责、人人享有的社会治理共同体。发挥群团组织和社会组织在社会治理中的作用，支持和发展社会工作服务机构和志愿服务组织，培育一批品牌社会组织。推动社会治理重心向基层下移，向基层放权赋能，加强基层组织、基础工作、基本能力建设。推进各级综治中心标准化、实体化建设，完善城乡社区治理和服务体系，加强基层社会治理队伍建设，构建网格化管理、精细化服务、信息化支撑、开放共享的基层管理服务平台。推进现代科技与社会治理深度融合，打造数据驱动、人机协同、跨界融合的智能化治理新模式。提升安全生产水平，全过程保障食品药品安全。加强安全生产风险管控，完善隐患排查治理体系，强化安全生产监管信息化和监察能力建设。结合柳州市争创全国市域社会治理现代化试点市工作，全面提高鱼峰区治理现代化水平。</w:t>
      </w:r>
    </w:p>
    <w:p w14:paraId="1E220C5D">
      <w:pPr>
        <w:pStyle w:val="2"/>
        <w:ind w:firstLine="720"/>
        <w:jc w:val="center"/>
        <w:rPr>
          <w:rFonts w:ascii="黑体" w:hAnsi="黑体" w:eastAsia="黑体"/>
          <w:b w:val="0"/>
          <w:color w:val="000000" w:themeColor="text1"/>
          <w:sz w:val="36"/>
          <w:szCs w:val="36"/>
        </w:rPr>
      </w:pPr>
      <w:bookmarkStart w:id="118" w:name="_Toc71816286"/>
      <w:bookmarkStart w:id="119" w:name="_Toc29697"/>
      <w:r>
        <w:rPr>
          <w:rFonts w:hint="eastAsia" w:ascii="黑体" w:hAnsi="黑体" w:eastAsia="黑体"/>
          <w:b w:val="0"/>
          <w:color w:val="000000" w:themeColor="text1"/>
          <w:sz w:val="36"/>
          <w:szCs w:val="36"/>
        </w:rPr>
        <w:t>第十二章 规划保障</w:t>
      </w:r>
      <w:bookmarkEnd w:id="118"/>
      <w:bookmarkEnd w:id="119"/>
    </w:p>
    <w:p w14:paraId="756396F3">
      <w:pPr>
        <w:pStyle w:val="3"/>
        <w:ind w:firstLine="643"/>
        <w:jc w:val="center"/>
        <w:rPr>
          <w:rFonts w:ascii="楷体_GB2312" w:eastAsia="楷体_GB2312"/>
          <w:color w:val="000000" w:themeColor="text1"/>
        </w:rPr>
      </w:pPr>
      <w:bookmarkStart w:id="120" w:name="_Toc71816287"/>
      <w:r>
        <w:rPr>
          <w:rFonts w:hint="eastAsia" w:ascii="楷体_GB2312" w:eastAsia="楷体_GB2312"/>
          <w:color w:val="000000" w:themeColor="text1"/>
        </w:rPr>
        <w:t>第一节 坚持党的领导</w:t>
      </w:r>
      <w:bookmarkEnd w:id="120"/>
    </w:p>
    <w:p w14:paraId="50F07053">
      <w:pPr>
        <w:ind w:firstLine="64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坚持以习近平新时代中国特色社会主义思想为指导，引导全区党员干部坚定理想信念，</w:t>
      </w:r>
      <w:r>
        <w:rPr>
          <w:rFonts w:hint="eastAsia" w:ascii="仿宋_GB2312" w:hAnsi="仿宋" w:eastAsia="仿宋_GB2312" w:cs="仿宋"/>
          <w:color w:val="000000" w:themeColor="text1"/>
          <w:sz w:val="32"/>
          <w:szCs w:val="32"/>
          <w:lang w:eastAsia="zh-CN"/>
        </w:rPr>
        <w:t>不忘初心、牢记使命</w:t>
      </w:r>
      <w:r>
        <w:rPr>
          <w:rFonts w:hint="eastAsia" w:ascii="仿宋_GB2312" w:hAnsi="仿宋" w:eastAsia="仿宋_GB2312" w:cs="仿宋"/>
          <w:color w:val="000000" w:themeColor="text1"/>
          <w:sz w:val="32"/>
          <w:szCs w:val="32"/>
        </w:rPr>
        <w:t>，为推进鱼峰区开启全面建设社会主义现代化国家新征程，</w:t>
      </w:r>
      <w:r>
        <w:rPr>
          <w:rFonts w:hint="eastAsia" w:ascii="仿宋_GB2312" w:hAnsi="仿宋" w:eastAsia="仿宋_GB2312" w:cs="仿宋"/>
          <w:color w:val="000000" w:themeColor="text1"/>
          <w:sz w:val="32"/>
          <w:szCs w:val="32"/>
          <w:lang w:eastAsia="zh-CN"/>
        </w:rPr>
        <w:t>实现第二个百年奋斗目标</w:t>
      </w:r>
      <w:r>
        <w:rPr>
          <w:rFonts w:hint="eastAsia" w:ascii="仿宋_GB2312" w:hAnsi="仿宋" w:eastAsia="仿宋_GB2312" w:cs="仿宋"/>
          <w:color w:val="000000" w:themeColor="text1"/>
          <w:sz w:val="32"/>
          <w:szCs w:val="32"/>
        </w:rPr>
        <w:t>不懈奋斗。全面落实党的领导制度，坚持党委把方向、谋大局、定政策、促改革，增强“四个意识”、坚定“四个自信”、坚决做到“两个维护”。统筹推进农村、社区、学校、医疗、国企、两新等领域基层党建工作，密切党群干群关系，完善上下贯通执行有力的组织体系，确保各级党委决策部署有效落地落实。落实全面从严治党主体责任、监督责任，提高党的建设质量。全面落实新时代党的组织路线，严格选人用人标准，提高各级各部门领导班子和领导干部适应新时代新要求抓改革、促发展、保稳定水平和专业化能力。加强对敢担当善作为干部的激励和保护，形成良好的用人导向。持续开展对形式主义、官僚主义和不担当不作为问题的整治，切实为基层减负。完善监督体系，坚持零容忍、全覆盖、无禁区，推进不敢腐、不能腐、不想腐，营造良好政治生态，为经济社会发展提供良好环境。</w:t>
      </w:r>
    </w:p>
    <w:p w14:paraId="07C98256">
      <w:pPr>
        <w:pStyle w:val="3"/>
        <w:ind w:firstLine="643"/>
        <w:jc w:val="center"/>
        <w:rPr>
          <w:rFonts w:ascii="楷体_GB2312" w:eastAsia="楷体_GB2312"/>
          <w:color w:val="000000" w:themeColor="text1"/>
        </w:rPr>
      </w:pPr>
      <w:bookmarkStart w:id="121" w:name="_Toc71816288"/>
      <w:r>
        <w:rPr>
          <w:rFonts w:hint="eastAsia" w:ascii="楷体_GB2312" w:eastAsia="楷体_GB2312"/>
          <w:color w:val="000000" w:themeColor="text1"/>
        </w:rPr>
        <w:t>第二节 坚持要素保障</w:t>
      </w:r>
      <w:bookmarkEnd w:id="121"/>
    </w:p>
    <w:p w14:paraId="686C529A">
      <w:pPr>
        <w:ind w:firstLine="64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加强重大项目的要素保障，优先落实国土空间规划、建设用地、环境准入等建设条件，配合完善重大项目土地供应制度，编制工矿仓储用地计划，优先安排食品加工、生物制药和大健康产业新增工业项目土地利用指标。统筹资金投入，优化财政支出结构和政府投资结构，优先安排涉及民生、公共服务和城乡一体化等领域的财政支出和项目投入。进一步统筹使用财政资金，提高政府投资的引导力和带动力。大力推动产金融合，围绕产业链布局资金链，整合金融要素与产业力量，夯实产融合作平台，探索产融合作新模式。支持重点产业扩大产业基金规模，鼓励符合条件的企业通过发行公司债、企业债、债务融资工具等方式募集资金。</w:t>
      </w:r>
    </w:p>
    <w:p w14:paraId="51765DA0">
      <w:pPr>
        <w:pStyle w:val="3"/>
        <w:ind w:firstLine="643"/>
        <w:jc w:val="center"/>
        <w:rPr>
          <w:rFonts w:ascii="楷体_GB2312" w:eastAsia="楷体_GB2312"/>
          <w:color w:val="000000" w:themeColor="text1"/>
        </w:rPr>
      </w:pPr>
      <w:bookmarkStart w:id="122" w:name="_Toc71816289"/>
      <w:r>
        <w:rPr>
          <w:rFonts w:hint="eastAsia" w:ascii="楷体_GB2312" w:eastAsia="楷体_GB2312"/>
          <w:color w:val="000000" w:themeColor="text1"/>
        </w:rPr>
        <w:t>第三节 坚持项目落地</w:t>
      </w:r>
      <w:bookmarkEnd w:id="122"/>
    </w:p>
    <w:p w14:paraId="422CA74C">
      <w:pPr>
        <w:ind w:firstLine="64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坚持以规划确定项目、以项目落实规划，发挥重大项目对转变经济发展方式的带动作用，在生态环保、社会民生、现代服务业、科技创新、城乡统筹等领域，组织实施一批关系全局和长远发展的重大项目。围绕规划编制、用地预审和选址、农转用和土地征收、供地、规划许可、登记发证等重点环节，建立健全重大项目全链条服务保障模式。在“多规合一”的前提下，深入推进规划用地“多审合一、多证合一、多验合一、多测合一”的“四合一”改革，大力推行在线审批、“不见面办事”，促进重大项目快上马、快开工、快验收。根据重大项目建设的特点和规律，构建事前、事中、事后综合服务体系，支持保障项目建设。</w:t>
      </w:r>
    </w:p>
    <w:p w14:paraId="6BB41BC3">
      <w:pPr>
        <w:pStyle w:val="3"/>
        <w:ind w:firstLine="643"/>
        <w:jc w:val="center"/>
        <w:rPr>
          <w:rFonts w:ascii="楷体_GB2312" w:eastAsia="楷体_GB2312"/>
          <w:color w:val="000000" w:themeColor="text1"/>
        </w:rPr>
      </w:pPr>
      <w:bookmarkStart w:id="123" w:name="_Toc71816290"/>
      <w:r>
        <w:rPr>
          <w:rFonts w:hint="eastAsia" w:ascii="楷体_GB2312" w:eastAsia="楷体_GB2312"/>
          <w:color w:val="000000" w:themeColor="text1"/>
        </w:rPr>
        <w:t>第四节 坚持规划实施</w:t>
      </w:r>
      <w:bookmarkEnd w:id="123"/>
    </w:p>
    <w:p w14:paraId="50A260FB">
      <w:pPr>
        <w:keepNext w:val="0"/>
        <w:keepLines w:val="0"/>
        <w:pageBreakBefore w:val="0"/>
        <w:widowControl w:val="0"/>
        <w:kinsoku/>
        <w:wordWrap/>
        <w:overflowPunct/>
        <w:topLinePunct w:val="0"/>
        <w:autoSpaceDE/>
        <w:autoSpaceDN/>
        <w:bidi w:val="0"/>
        <w:adjustRightInd/>
        <w:snapToGrid/>
        <w:spacing w:line="578" w:lineRule="exact"/>
        <w:ind w:firstLine="643"/>
        <w:textAlignment w:val="auto"/>
        <w:rPr>
          <w:rFonts w:ascii="仿宋_GB2312" w:hAnsi="仿宋" w:eastAsia="仿宋_GB2312" w:cs="仿宋"/>
          <w:color w:val="000000" w:themeColor="text1"/>
          <w:sz w:val="32"/>
          <w:szCs w:val="32"/>
        </w:rPr>
      </w:pPr>
      <w:r>
        <w:rPr>
          <w:rFonts w:hint="eastAsia" w:ascii="仿宋_GB2312" w:hAnsi="仿宋" w:eastAsia="仿宋_GB2312" w:cs="仿宋"/>
          <w:b/>
          <w:bCs/>
          <w:color w:val="000000" w:themeColor="text1"/>
          <w:sz w:val="32"/>
          <w:szCs w:val="32"/>
        </w:rPr>
        <w:t>加强规划实施评估。</w:t>
      </w:r>
      <w:r>
        <w:rPr>
          <w:rFonts w:hint="eastAsia" w:ascii="仿宋_GB2312" w:hAnsi="仿宋" w:eastAsia="仿宋_GB2312" w:cs="仿宋"/>
          <w:color w:val="000000" w:themeColor="text1"/>
          <w:sz w:val="32"/>
          <w:szCs w:val="32"/>
        </w:rPr>
        <w:t>根据有关法律，开展规划实施情况中期评估，评估报告提请区人大常委会审议。创新评估方式，开展年度评估，引入社会机构参与评估，增强规划评估的准确性和广泛性。加强规划实施的过程跟踪和效果分析，对规划进行动态调整和修订，建立发展规划绩效考核持续改进机制，重点加强调控目标的监测预警。健全政策协调和工作协同机制，完善规划实施监测评估和绩效考评机制，确保党中央、自治区、柳州市党委关于“十四五”发展的决策部署在鱼峰区全面落实。</w:t>
      </w:r>
    </w:p>
    <w:p w14:paraId="26D603BB">
      <w:pPr>
        <w:keepNext w:val="0"/>
        <w:keepLines w:val="0"/>
        <w:pageBreakBefore w:val="0"/>
        <w:widowControl w:val="0"/>
        <w:kinsoku/>
        <w:wordWrap/>
        <w:overflowPunct/>
        <w:topLinePunct w:val="0"/>
        <w:autoSpaceDE/>
        <w:autoSpaceDN/>
        <w:bidi w:val="0"/>
        <w:adjustRightInd/>
        <w:snapToGrid/>
        <w:spacing w:line="578" w:lineRule="exact"/>
        <w:ind w:firstLine="643"/>
        <w:textAlignment w:val="auto"/>
        <w:rPr>
          <w:rFonts w:ascii="仿宋_GB2312" w:hAnsi="仿宋" w:eastAsia="仿宋_GB2312" w:cs="仿宋"/>
          <w:color w:val="000000" w:themeColor="text1"/>
          <w:spacing w:val="11"/>
          <w:sz w:val="32"/>
          <w:szCs w:val="32"/>
        </w:rPr>
      </w:pPr>
      <w:r>
        <w:rPr>
          <w:rFonts w:hint="eastAsia" w:ascii="仿宋_GB2312" w:hAnsi="仿宋" w:eastAsia="仿宋_GB2312" w:cs="仿宋"/>
          <w:b/>
          <w:bCs/>
          <w:color w:val="000000" w:themeColor="text1"/>
          <w:spacing w:val="11"/>
          <w:sz w:val="32"/>
          <w:szCs w:val="32"/>
        </w:rPr>
        <w:t>动员全社会参与。</w:t>
      </w:r>
      <w:r>
        <w:rPr>
          <w:rFonts w:hint="eastAsia" w:ascii="仿宋_GB2312" w:hAnsi="仿宋" w:eastAsia="仿宋_GB2312" w:cs="仿宋"/>
          <w:color w:val="000000" w:themeColor="text1"/>
          <w:spacing w:val="11"/>
          <w:sz w:val="32"/>
          <w:szCs w:val="32"/>
        </w:rPr>
        <w:t>加强规划宣传，着力推进规划实施的信息公开，健全政府与企业、市民的信息沟通和交流机制，提高规划实施的民主化程度和透明度。发挥新闻媒体、群众团体的桥梁和监督作用，促进规划的有效实施。</w:t>
      </w:r>
    </w:p>
    <w:p w14:paraId="2805A27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ascii="仿宋" w:hAnsi="仿宋" w:eastAsia="仿宋" w:cs="仿宋"/>
          <w:color w:val="000000" w:themeColor="text1"/>
          <w:sz w:val="32"/>
          <w:szCs w:val="32"/>
        </w:rPr>
      </w:pPr>
    </w:p>
    <w:p w14:paraId="669FB750">
      <w:pPr>
        <w:keepNext w:val="0"/>
        <w:keepLines w:val="0"/>
        <w:pageBreakBefore w:val="0"/>
        <w:widowControl w:val="0"/>
        <w:kinsoku/>
        <w:wordWrap/>
        <w:overflowPunct/>
        <w:topLinePunct w:val="0"/>
        <w:autoSpaceDE/>
        <w:autoSpaceDN/>
        <w:bidi w:val="0"/>
        <w:adjustRightInd/>
        <w:snapToGrid/>
        <w:spacing w:line="578" w:lineRule="exact"/>
        <w:ind w:firstLine="0" w:firstLineChars="0"/>
        <w:textAlignment w:val="auto"/>
        <w:rPr>
          <w:rFonts w:eastAsia="仿宋_GB2312"/>
          <w:snapToGrid w:val="0"/>
          <w:spacing w:val="8"/>
          <w:kern w:val="0"/>
          <w:sz w:val="32"/>
          <w:szCs w:val="32"/>
        </w:rPr>
      </w:pPr>
    </w:p>
    <w:p w14:paraId="0F8CF92F">
      <w:pPr>
        <w:keepNext w:val="0"/>
        <w:keepLines w:val="0"/>
        <w:pageBreakBefore w:val="0"/>
        <w:widowControl w:val="0"/>
        <w:kinsoku/>
        <w:wordWrap/>
        <w:overflowPunct/>
        <w:topLinePunct w:val="0"/>
        <w:autoSpaceDE/>
        <w:autoSpaceDN/>
        <w:bidi w:val="0"/>
        <w:adjustRightInd/>
        <w:snapToGrid/>
        <w:spacing w:line="578" w:lineRule="exact"/>
        <w:ind w:firstLine="0" w:firstLineChars="0"/>
        <w:textAlignment w:val="auto"/>
        <w:rPr>
          <w:rFonts w:eastAsia="仿宋_GB2312"/>
          <w:snapToGrid w:val="0"/>
          <w:spacing w:val="8"/>
          <w:kern w:val="0"/>
          <w:sz w:val="32"/>
          <w:szCs w:val="32"/>
        </w:rPr>
      </w:pPr>
    </w:p>
    <w:p w14:paraId="4E66910E">
      <w:pPr>
        <w:keepNext w:val="0"/>
        <w:keepLines w:val="0"/>
        <w:pageBreakBefore w:val="0"/>
        <w:widowControl w:val="0"/>
        <w:kinsoku/>
        <w:wordWrap/>
        <w:overflowPunct/>
        <w:topLinePunct w:val="0"/>
        <w:autoSpaceDE/>
        <w:autoSpaceDN/>
        <w:bidi w:val="0"/>
        <w:adjustRightInd/>
        <w:snapToGrid/>
        <w:spacing w:line="578" w:lineRule="exact"/>
        <w:ind w:firstLine="0" w:firstLineChars="0"/>
        <w:textAlignment w:val="auto"/>
        <w:rPr>
          <w:rFonts w:eastAsia="仿宋_GB2312"/>
          <w:snapToGrid w:val="0"/>
          <w:spacing w:val="8"/>
          <w:kern w:val="0"/>
          <w:sz w:val="32"/>
          <w:szCs w:val="32"/>
        </w:rPr>
      </w:pPr>
    </w:p>
    <w:p w14:paraId="7FB174B0">
      <w:pPr>
        <w:keepNext w:val="0"/>
        <w:keepLines w:val="0"/>
        <w:pageBreakBefore w:val="0"/>
        <w:widowControl w:val="0"/>
        <w:kinsoku/>
        <w:wordWrap/>
        <w:overflowPunct/>
        <w:topLinePunct w:val="0"/>
        <w:autoSpaceDE/>
        <w:autoSpaceDN/>
        <w:bidi w:val="0"/>
        <w:adjustRightInd/>
        <w:snapToGrid/>
        <w:spacing w:line="578" w:lineRule="exact"/>
        <w:ind w:firstLine="0" w:firstLineChars="0"/>
        <w:textAlignment w:val="auto"/>
        <w:rPr>
          <w:rFonts w:eastAsia="仿宋_GB2312"/>
          <w:snapToGrid w:val="0"/>
          <w:spacing w:val="8"/>
          <w:kern w:val="0"/>
          <w:sz w:val="32"/>
          <w:szCs w:val="32"/>
        </w:rPr>
      </w:pPr>
    </w:p>
    <w:p w14:paraId="68559218">
      <w:pPr>
        <w:keepNext w:val="0"/>
        <w:keepLines w:val="0"/>
        <w:pageBreakBefore w:val="0"/>
        <w:widowControl w:val="0"/>
        <w:kinsoku/>
        <w:wordWrap/>
        <w:overflowPunct/>
        <w:topLinePunct w:val="0"/>
        <w:autoSpaceDE/>
        <w:autoSpaceDN/>
        <w:bidi w:val="0"/>
        <w:adjustRightInd/>
        <w:snapToGrid/>
        <w:spacing w:line="578" w:lineRule="exact"/>
        <w:ind w:firstLine="0" w:firstLineChars="0"/>
        <w:textAlignment w:val="auto"/>
        <w:rPr>
          <w:rFonts w:eastAsia="仿宋_GB2312"/>
          <w:snapToGrid w:val="0"/>
          <w:spacing w:val="8"/>
          <w:kern w:val="0"/>
          <w:sz w:val="32"/>
          <w:szCs w:val="32"/>
        </w:rPr>
      </w:pPr>
    </w:p>
    <w:p w14:paraId="65EE14EE">
      <w:pPr>
        <w:keepNext w:val="0"/>
        <w:keepLines w:val="0"/>
        <w:pageBreakBefore w:val="0"/>
        <w:widowControl w:val="0"/>
        <w:kinsoku/>
        <w:wordWrap/>
        <w:overflowPunct/>
        <w:topLinePunct w:val="0"/>
        <w:autoSpaceDE/>
        <w:autoSpaceDN/>
        <w:bidi w:val="0"/>
        <w:adjustRightInd/>
        <w:snapToGrid/>
        <w:spacing w:line="578" w:lineRule="exact"/>
        <w:ind w:firstLine="0" w:firstLineChars="0"/>
        <w:textAlignment w:val="auto"/>
        <w:rPr>
          <w:rFonts w:eastAsia="仿宋_GB2312"/>
          <w:snapToGrid w:val="0"/>
          <w:spacing w:val="8"/>
          <w:kern w:val="0"/>
          <w:sz w:val="32"/>
          <w:szCs w:val="32"/>
        </w:rPr>
      </w:pPr>
    </w:p>
    <w:p w14:paraId="6350D308">
      <w:pPr>
        <w:keepNext w:val="0"/>
        <w:keepLines w:val="0"/>
        <w:pageBreakBefore w:val="0"/>
        <w:widowControl w:val="0"/>
        <w:kinsoku/>
        <w:wordWrap/>
        <w:overflowPunct/>
        <w:topLinePunct w:val="0"/>
        <w:autoSpaceDE/>
        <w:autoSpaceDN/>
        <w:bidi w:val="0"/>
        <w:adjustRightInd/>
        <w:snapToGrid/>
        <w:spacing w:line="578" w:lineRule="exact"/>
        <w:ind w:firstLine="0" w:firstLineChars="0"/>
        <w:textAlignment w:val="auto"/>
        <w:rPr>
          <w:rFonts w:eastAsia="仿宋_GB2312"/>
          <w:snapToGrid w:val="0"/>
          <w:spacing w:val="8"/>
          <w:kern w:val="0"/>
          <w:sz w:val="32"/>
          <w:szCs w:val="32"/>
        </w:rPr>
      </w:pPr>
    </w:p>
    <w:p w14:paraId="6295405B">
      <w:pPr>
        <w:keepNext w:val="0"/>
        <w:keepLines w:val="0"/>
        <w:pageBreakBefore w:val="0"/>
        <w:widowControl w:val="0"/>
        <w:kinsoku/>
        <w:wordWrap/>
        <w:overflowPunct/>
        <w:topLinePunct w:val="0"/>
        <w:autoSpaceDE/>
        <w:autoSpaceDN/>
        <w:bidi w:val="0"/>
        <w:adjustRightInd/>
        <w:snapToGrid/>
        <w:spacing w:line="578" w:lineRule="exact"/>
        <w:ind w:firstLine="0" w:firstLineChars="0"/>
        <w:textAlignment w:val="auto"/>
        <w:rPr>
          <w:rFonts w:eastAsia="仿宋_GB2312"/>
          <w:snapToGrid w:val="0"/>
          <w:spacing w:val="8"/>
          <w:kern w:val="0"/>
          <w:sz w:val="32"/>
          <w:szCs w:val="32"/>
        </w:rPr>
      </w:pPr>
    </w:p>
    <w:p w14:paraId="67B8C67A">
      <w:pPr>
        <w:keepNext w:val="0"/>
        <w:keepLines w:val="0"/>
        <w:pageBreakBefore w:val="0"/>
        <w:widowControl w:val="0"/>
        <w:kinsoku/>
        <w:wordWrap/>
        <w:overflowPunct/>
        <w:topLinePunct w:val="0"/>
        <w:autoSpaceDE/>
        <w:autoSpaceDN/>
        <w:bidi w:val="0"/>
        <w:adjustRightInd/>
        <w:snapToGrid/>
        <w:spacing w:line="578" w:lineRule="exact"/>
        <w:ind w:firstLine="0" w:firstLineChars="0"/>
        <w:textAlignment w:val="auto"/>
        <w:rPr>
          <w:rFonts w:eastAsia="仿宋_GB2312"/>
          <w:snapToGrid w:val="0"/>
          <w:spacing w:val="8"/>
          <w:kern w:val="0"/>
          <w:sz w:val="32"/>
          <w:szCs w:val="32"/>
        </w:rPr>
      </w:pPr>
    </w:p>
    <w:p w14:paraId="3F440653">
      <w:pPr>
        <w:keepNext w:val="0"/>
        <w:keepLines w:val="0"/>
        <w:pageBreakBefore w:val="0"/>
        <w:widowControl w:val="0"/>
        <w:kinsoku/>
        <w:wordWrap/>
        <w:overflowPunct/>
        <w:topLinePunct w:val="0"/>
        <w:autoSpaceDE/>
        <w:autoSpaceDN/>
        <w:bidi w:val="0"/>
        <w:adjustRightInd/>
        <w:snapToGrid/>
        <w:spacing w:line="578" w:lineRule="exact"/>
        <w:ind w:firstLine="0" w:firstLineChars="0"/>
        <w:textAlignment w:val="auto"/>
        <w:rPr>
          <w:rFonts w:eastAsia="仿宋_GB2312"/>
          <w:snapToGrid w:val="0"/>
          <w:spacing w:val="8"/>
          <w:kern w:val="0"/>
          <w:sz w:val="32"/>
          <w:szCs w:val="32"/>
        </w:rPr>
      </w:pPr>
    </w:p>
    <w:p w14:paraId="5259295B">
      <w:pPr>
        <w:keepNext w:val="0"/>
        <w:keepLines w:val="0"/>
        <w:pageBreakBefore w:val="0"/>
        <w:widowControl w:val="0"/>
        <w:kinsoku/>
        <w:wordWrap/>
        <w:overflowPunct/>
        <w:topLinePunct w:val="0"/>
        <w:autoSpaceDE/>
        <w:autoSpaceDN/>
        <w:bidi w:val="0"/>
        <w:adjustRightInd/>
        <w:snapToGrid/>
        <w:spacing w:line="578" w:lineRule="exact"/>
        <w:ind w:firstLine="0" w:firstLineChars="0"/>
        <w:textAlignment w:val="auto"/>
        <w:rPr>
          <w:rFonts w:eastAsia="仿宋_GB2312"/>
          <w:sz w:val="34"/>
          <w:szCs w:val="34"/>
        </w:rPr>
      </w:pPr>
    </w:p>
    <w:p w14:paraId="7E164356">
      <w:pPr>
        <w:keepNext w:val="0"/>
        <w:keepLines w:val="0"/>
        <w:pageBreakBefore w:val="0"/>
        <w:widowControl w:val="0"/>
        <w:kinsoku/>
        <w:wordWrap/>
        <w:overflowPunct/>
        <w:topLinePunct w:val="0"/>
        <w:autoSpaceDE/>
        <w:autoSpaceDN/>
        <w:bidi w:val="0"/>
        <w:adjustRightInd/>
        <w:snapToGrid/>
        <w:spacing w:line="578" w:lineRule="exact"/>
        <w:ind w:firstLine="0" w:firstLineChars="0"/>
        <w:textAlignment w:val="auto"/>
        <w:rPr>
          <w:rFonts w:eastAsia="仿宋_GB2312"/>
          <w:sz w:val="34"/>
          <w:szCs w:val="34"/>
        </w:rPr>
      </w:pPr>
    </w:p>
    <w:p w14:paraId="7D8A15B3">
      <w:pPr>
        <w:keepNext w:val="0"/>
        <w:keepLines w:val="0"/>
        <w:pageBreakBefore w:val="0"/>
        <w:widowControl w:val="0"/>
        <w:kinsoku/>
        <w:wordWrap/>
        <w:overflowPunct/>
        <w:topLinePunct w:val="0"/>
        <w:autoSpaceDE/>
        <w:autoSpaceDN/>
        <w:bidi w:val="0"/>
        <w:adjustRightInd/>
        <w:snapToGrid/>
        <w:spacing w:line="578" w:lineRule="exact"/>
        <w:ind w:firstLine="0" w:firstLineChars="0"/>
        <w:textAlignment w:val="auto"/>
        <w:rPr>
          <w:rFonts w:eastAsia="仿宋_GB2312"/>
          <w:sz w:val="34"/>
          <w:szCs w:val="34"/>
        </w:rPr>
      </w:pPr>
    </w:p>
    <w:p w14:paraId="5099D527">
      <w:pPr>
        <w:keepNext w:val="0"/>
        <w:keepLines w:val="0"/>
        <w:pageBreakBefore w:val="0"/>
        <w:widowControl w:val="0"/>
        <w:kinsoku/>
        <w:wordWrap/>
        <w:overflowPunct/>
        <w:topLinePunct w:val="0"/>
        <w:autoSpaceDE/>
        <w:autoSpaceDN/>
        <w:bidi w:val="0"/>
        <w:adjustRightInd/>
        <w:snapToGrid/>
        <w:spacing w:line="578" w:lineRule="exact"/>
        <w:ind w:firstLine="0" w:firstLineChars="0"/>
        <w:textAlignment w:val="auto"/>
        <w:rPr>
          <w:rFonts w:eastAsia="仿宋_GB2312"/>
          <w:sz w:val="34"/>
          <w:szCs w:val="34"/>
        </w:rPr>
      </w:pPr>
    </w:p>
    <w:p w14:paraId="08D29CA7">
      <w:pPr>
        <w:keepNext w:val="0"/>
        <w:keepLines w:val="0"/>
        <w:pageBreakBefore w:val="0"/>
        <w:widowControl w:val="0"/>
        <w:kinsoku/>
        <w:wordWrap/>
        <w:overflowPunct/>
        <w:topLinePunct w:val="0"/>
        <w:autoSpaceDE/>
        <w:autoSpaceDN/>
        <w:bidi w:val="0"/>
        <w:adjustRightInd/>
        <w:snapToGrid/>
        <w:spacing w:line="578" w:lineRule="exact"/>
        <w:ind w:firstLine="0" w:firstLineChars="0"/>
        <w:textAlignment w:val="auto"/>
        <w:rPr>
          <w:rFonts w:eastAsia="仿宋_GB2312"/>
          <w:sz w:val="34"/>
          <w:szCs w:val="34"/>
        </w:rPr>
      </w:pPr>
    </w:p>
    <w:p w14:paraId="58E2C158">
      <w:pPr>
        <w:keepNext w:val="0"/>
        <w:keepLines w:val="0"/>
        <w:pageBreakBefore w:val="0"/>
        <w:widowControl w:val="0"/>
        <w:kinsoku/>
        <w:wordWrap/>
        <w:overflowPunct/>
        <w:topLinePunct w:val="0"/>
        <w:autoSpaceDE/>
        <w:autoSpaceDN/>
        <w:bidi w:val="0"/>
        <w:adjustRightInd/>
        <w:snapToGrid/>
        <w:spacing w:line="578" w:lineRule="exact"/>
        <w:ind w:firstLine="0" w:firstLineChars="0"/>
        <w:textAlignment w:val="auto"/>
        <w:rPr>
          <w:rFonts w:eastAsia="仿宋_GB2312"/>
          <w:sz w:val="34"/>
          <w:szCs w:val="34"/>
        </w:rPr>
      </w:pPr>
    </w:p>
    <w:p w14:paraId="0FE50671">
      <w:pPr>
        <w:keepNext w:val="0"/>
        <w:keepLines w:val="0"/>
        <w:pageBreakBefore w:val="0"/>
        <w:widowControl w:val="0"/>
        <w:kinsoku/>
        <w:wordWrap/>
        <w:overflowPunct/>
        <w:topLinePunct w:val="0"/>
        <w:autoSpaceDE/>
        <w:autoSpaceDN/>
        <w:bidi w:val="0"/>
        <w:adjustRightInd/>
        <w:snapToGrid/>
        <w:spacing w:line="578" w:lineRule="exact"/>
        <w:ind w:firstLine="0" w:firstLineChars="0"/>
        <w:textAlignment w:val="auto"/>
        <w:rPr>
          <w:rFonts w:eastAsia="仿宋_GB2312"/>
          <w:sz w:val="34"/>
          <w:szCs w:val="34"/>
        </w:rPr>
      </w:pPr>
    </w:p>
    <w:p w14:paraId="339AE8F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eastAsia="仿宋_GB2312"/>
          <w:sz w:val="34"/>
          <w:szCs w:val="34"/>
          <w:lang w:val="en-US"/>
        </w:rPr>
      </w:pPr>
      <w:r>
        <w:rPr>
          <w:rFonts w:hint="eastAsia" w:ascii="黑体" w:hAnsi="黑体" w:eastAsia="黑体" w:cs="黑体"/>
          <w:sz w:val="32"/>
          <w:szCs w:val="32"/>
        </w:rPr>
        <w:pict>
          <v:line id="_x0000_s2057" o:spid="_x0000_s2057" o:spt="20" style="position:absolute;left:0pt;margin-left:80.2pt;margin-top:683.15pt;height:0pt;width:442.2pt;mso-position-horizontal-relative:page;mso-position-vertical-relative:page;z-index:251659264;mso-width-relative:page;mso-height-relative:page;" coordsize="21600,21600">
            <v:path arrowok="t"/>
            <v:fill focussize="0,0"/>
            <v:stroke weight="1pt" joinstyle="miter"/>
            <v:imagedata o:title=""/>
            <o:lock v:ext="edit"/>
          </v:line>
        </w:pict>
      </w:r>
      <w:r>
        <w:rPr>
          <w:rFonts w:hint="eastAsia" w:ascii="黑体" w:hAnsi="黑体" w:eastAsia="黑体" w:cs="黑体"/>
          <w:sz w:val="32"/>
          <w:szCs w:val="32"/>
          <w:lang w:val="en-US" w:eastAsia="zh-CN"/>
        </w:rPr>
        <w:t>公开方式：</w:t>
      </w:r>
      <w:r>
        <w:rPr>
          <w:rFonts w:hint="eastAsia" w:eastAsia="仿宋_GB2312"/>
          <w:sz w:val="34"/>
          <w:szCs w:val="34"/>
          <w:lang w:val="en-US" w:eastAsia="zh-CN"/>
        </w:rPr>
        <w:t>主动公开</w:t>
      </w:r>
    </w:p>
    <w:p w14:paraId="146C836C">
      <w:pPr>
        <w:spacing w:line="578" w:lineRule="exact"/>
        <w:ind w:firstLine="280" w:firstLineChars="100"/>
        <w:rPr>
          <w:rFonts w:hint="eastAsia" w:eastAsia="仿宋_GB2312"/>
          <w:sz w:val="28"/>
          <w:szCs w:val="28"/>
          <w:lang w:val="en-US" w:eastAsia="zh-CN"/>
        </w:rPr>
      </w:pPr>
      <w:r>
        <w:rPr>
          <w:rFonts w:hint="eastAsia" w:eastAsia="仿宋_GB2312"/>
          <w:sz w:val="28"/>
          <w:szCs w:val="28"/>
          <w:lang w:val="en-US" w:eastAsia="zh-CN"/>
        </w:rPr>
        <w:t>抄送：区委办、区人大办、区政协办。</w:t>
      </w:r>
    </w:p>
    <w:p w14:paraId="2323E1B3">
      <w:pPr>
        <w:spacing w:line="578" w:lineRule="exact"/>
        <w:ind w:firstLine="280" w:firstLineChars="100"/>
        <w:rPr>
          <w:rFonts w:eastAsia="仿宋_GB2312"/>
          <w:sz w:val="28"/>
          <w:szCs w:val="28"/>
        </w:rPr>
      </w:pPr>
      <w:r>
        <w:rPr>
          <w:rFonts w:hint="eastAsia" w:eastAsia="仿宋_GB2312"/>
          <w:sz w:val="28"/>
          <w:szCs w:val="28"/>
        </w:rPr>
        <w:t>鱼峰区人民政府办公室</w:t>
      </w:r>
      <w:r>
        <w:rPr>
          <w:rFonts w:eastAsia="仿宋_GB2312"/>
          <w:sz w:val="28"/>
          <w:szCs w:val="28"/>
        </w:rPr>
        <w:t xml:space="preserve">                  </w:t>
      </w:r>
      <w:r>
        <w:rPr>
          <w:rFonts w:hint="eastAsia" w:eastAsia="仿宋_GB2312"/>
          <w:sz w:val="28"/>
          <w:szCs w:val="28"/>
        </w:rPr>
        <w:t xml:space="preserve"> </w:t>
      </w:r>
      <w:r>
        <w:rPr>
          <w:rFonts w:eastAsia="仿宋_GB2312"/>
          <w:sz w:val="28"/>
          <w:szCs w:val="28"/>
        </w:rPr>
        <w:t>20</w:t>
      </w:r>
      <w:r>
        <w:rPr>
          <w:rFonts w:hint="eastAsia" w:eastAsia="仿宋_GB2312"/>
          <w:sz w:val="28"/>
          <w:szCs w:val="28"/>
          <w:lang w:val="en-US" w:eastAsia="zh-CN"/>
        </w:rPr>
        <w:t>21</w:t>
      </w:r>
      <w:r>
        <w:rPr>
          <w:rFonts w:hint="eastAsia" w:eastAsia="仿宋_GB2312"/>
          <w:sz w:val="28"/>
          <w:szCs w:val="28"/>
        </w:rPr>
        <w:t>年</w:t>
      </w:r>
      <w:r>
        <w:rPr>
          <w:rFonts w:hint="eastAsia" w:eastAsia="仿宋_GB2312"/>
          <w:sz w:val="28"/>
          <w:szCs w:val="28"/>
          <w:lang w:val="en-US" w:eastAsia="zh-CN"/>
        </w:rPr>
        <w:t>6</w:t>
      </w:r>
      <w:r>
        <w:rPr>
          <w:rFonts w:hint="eastAsia" w:eastAsia="仿宋_GB2312"/>
          <w:sz w:val="28"/>
          <w:szCs w:val="28"/>
        </w:rPr>
        <w:t>月</w:t>
      </w:r>
      <w:r>
        <w:rPr>
          <w:rFonts w:hint="eastAsia" w:eastAsia="仿宋_GB2312"/>
          <w:sz w:val="28"/>
          <w:szCs w:val="28"/>
          <w:lang w:val="en-US" w:eastAsia="zh-CN"/>
        </w:rPr>
        <w:t>7</w:t>
      </w:r>
      <w:r>
        <w:rPr>
          <w:rFonts w:hint="eastAsia" w:eastAsia="仿宋_GB2312"/>
          <w:sz w:val="28"/>
          <w:szCs w:val="28"/>
        </w:rPr>
        <w:t>日印发</w:t>
      </w:r>
      <w:r>
        <w:rPr>
          <w:rFonts w:eastAsia="仿宋_GB2312"/>
          <w:sz w:val="32"/>
        </w:rPr>
        <w:pict>
          <v:line id="_x0000_s2058" o:spid="_x0000_s2058" o:spt="20" style="position:absolute;left:0pt;margin-left:79.4pt;margin-top:714.35pt;height:0pt;width:442.2pt;mso-position-horizontal-relative:page;mso-position-vertical-relative:page;z-index:251659264;mso-width-relative:page;mso-height-relative:page;" coordsize="21600,21600">
            <v:path arrowok="t"/>
            <v:fill focussize="0,0"/>
            <v:stroke weight="1pt" joinstyle="miter"/>
            <v:imagedata o:title=""/>
            <o:lock v:ext="edit"/>
          </v:line>
        </w:pict>
      </w:r>
      <w:r>
        <w:rPr>
          <w:rFonts w:eastAsia="仿宋_GB2312"/>
          <w:sz w:val="32"/>
        </w:rPr>
        <w:pict>
          <v:line id="_x0000_s2059" o:spid="_x0000_s2059" o:spt="20" style="position:absolute;left:0pt;margin-left:79.4pt;margin-top:742.8pt;height:0pt;width:442.2pt;mso-position-horizontal-relative:page;mso-position-vertical-relative:page;z-index:251659264;mso-width-relative:page;mso-height-relative:page;" coordsize="21600,21600">
            <v:path arrowok="t"/>
            <v:fill focussize="0,0"/>
            <v:stroke weight="1pt" joinstyle="miter"/>
            <v:imagedata o:title=""/>
            <o:lock v:ext="edit"/>
          </v:line>
        </w:pict>
      </w:r>
    </w:p>
    <w:p w14:paraId="5D874D35">
      <w:pPr>
        <w:keepNext w:val="0"/>
        <w:keepLines w:val="0"/>
        <w:pageBreakBefore w:val="0"/>
        <w:widowControl/>
        <w:kinsoku/>
        <w:wordWrap/>
        <w:overflowPunct/>
        <w:topLinePunct w:val="0"/>
        <w:autoSpaceDE/>
        <w:autoSpaceDN/>
        <w:bidi w:val="0"/>
        <w:adjustRightInd/>
        <w:snapToGrid/>
        <w:spacing w:line="578" w:lineRule="exact"/>
        <w:ind w:right="640" w:firstLine="5120" w:firstLineChars="1600"/>
        <w:textAlignment w:val="auto"/>
        <w:rPr>
          <w:rFonts w:hint="eastAsia" w:ascii="仿宋_GB2312" w:eastAsia="仿宋_GB2312"/>
          <w:color w:val="000000"/>
          <w:sz w:val="32"/>
          <w:szCs w:val="32"/>
        </w:rPr>
      </w:pPr>
    </w:p>
    <w:p w14:paraId="711131C7"/>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华文楷体">
    <w:altName w:val="宋体"/>
    <w:panose1 w:val="02010600040101010101"/>
    <w:charset w:val="86"/>
    <w:family w:val="roman"/>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0901D">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2E1E1">
    <w:pPr>
      <w:pStyle w:val="6"/>
      <w:framePr w:wrap="around" w:vAnchor="text" w:hAnchor="margin" w:xAlign="outside" w:y="1"/>
      <w:rPr>
        <w:rStyle w:val="12"/>
      </w:rPr>
    </w:pPr>
    <w:r>
      <w:fldChar w:fldCharType="begin"/>
    </w:r>
    <w:r>
      <w:rPr>
        <w:rStyle w:val="12"/>
      </w:rPr>
      <w:instrText xml:space="preserve">PAGE  </w:instrText>
    </w:r>
    <w:r>
      <w:fldChar w:fldCharType="separate"/>
    </w:r>
    <w:r>
      <w:rPr>
        <w:rStyle w:val="12"/>
      </w:rPr>
      <w:t>13</w:t>
    </w:r>
    <w:r>
      <w:fldChar w:fldCharType="end"/>
    </w:r>
  </w:p>
  <w:p w14:paraId="2C2E598C">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9F68B"/>
    <w:multiLevelType w:val="singleLevel"/>
    <w:tmpl w:val="8209F68B"/>
    <w:lvl w:ilvl="0" w:tentative="0">
      <w:start w:val="2"/>
      <w:numFmt w:val="decimal"/>
      <w:suff w:val="space"/>
      <w:lvlText w:val="%1."/>
      <w:lvlJc w:val="left"/>
    </w:lvl>
  </w:abstractNum>
  <w:abstractNum w:abstractNumId="1">
    <w:nsid w:val="DA4946A5"/>
    <w:multiLevelType w:val="singleLevel"/>
    <w:tmpl w:val="DA4946A5"/>
    <w:lvl w:ilvl="0" w:tentative="0">
      <w:start w:val="1"/>
      <w:numFmt w:val="decimal"/>
      <w:suff w:val="space"/>
      <w:lvlText w:val="%1."/>
      <w:lvlJc w:val="left"/>
    </w:lvl>
  </w:abstractNum>
  <w:abstractNum w:abstractNumId="2">
    <w:nsid w:val="2BDD4DBB"/>
    <w:multiLevelType w:val="singleLevel"/>
    <w:tmpl w:val="2BDD4DBB"/>
    <w:lvl w:ilvl="0" w:tentative="0">
      <w:start w:val="2"/>
      <w:numFmt w:val="chineseCounting"/>
      <w:suff w:val="space"/>
      <w:lvlText w:val="第%1节"/>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IzNWNhYzUwOTIyNDg3NzlkMWVjMGY4YWE5OGZhZDMifQ=="/>
  </w:docVars>
  <w:rsids>
    <w:rsidRoot w:val="00123602"/>
    <w:rsid w:val="00076085"/>
    <w:rsid w:val="00123602"/>
    <w:rsid w:val="00177140"/>
    <w:rsid w:val="00401147"/>
    <w:rsid w:val="004D518F"/>
    <w:rsid w:val="007A3A5B"/>
    <w:rsid w:val="00816863"/>
    <w:rsid w:val="009E550F"/>
    <w:rsid w:val="00A920C2"/>
    <w:rsid w:val="00C847AB"/>
    <w:rsid w:val="00E9648A"/>
    <w:rsid w:val="1D3427C3"/>
    <w:rsid w:val="201F2396"/>
    <w:rsid w:val="22A02D7B"/>
    <w:rsid w:val="5CBC2E38"/>
    <w:rsid w:val="65022A01"/>
    <w:rsid w:val="76140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semiHidden/>
    <w:unhideWhenUsed/>
    <w:qFormat/>
    <w:uiPriority w:val="99"/>
    <w:pPr>
      <w:spacing w:after="120"/>
      <w:ind w:left="420" w:leftChars="200"/>
    </w:pPr>
  </w:style>
  <w:style w:type="paragraph" w:styleId="6">
    <w:name w:val="footer"/>
    <w:basedOn w:val="1"/>
    <w:link w:val="14"/>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First Indent 2"/>
    <w:basedOn w:val="5"/>
    <w:qFormat/>
    <w:uiPriority w:val="0"/>
    <w:pPr>
      <w:adjustRightInd w:val="0"/>
      <w:snapToGrid w:val="0"/>
      <w:spacing w:after="0" w:line="360" w:lineRule="auto"/>
      <w:ind w:left="0" w:leftChars="0" w:firstLine="420"/>
    </w:pPr>
    <w:rPr>
      <w:rFonts w:ascii="仿宋_GB2312"/>
      <w:sz w:val="28"/>
    </w:rPr>
  </w:style>
  <w:style w:type="table" w:styleId="10">
    <w:name w:val="Table Grid"/>
    <w:basedOn w:val="9"/>
    <w:qFormat/>
    <w:uiPriority w:val="39"/>
    <w:pPr>
      <w:spacing w:line="560" w:lineRule="exact"/>
      <w:ind w:firstLine="200" w:firstLineChars="200"/>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semiHidden/>
    <w:qFormat/>
    <w:uiPriority w:val="99"/>
    <w:rPr>
      <w:sz w:val="18"/>
      <w:szCs w:val="18"/>
    </w:rPr>
  </w:style>
  <w:style w:type="paragraph" w:customStyle="1" w:styleId="15">
    <w:name w:val="5 正文内容"/>
    <w:basedOn w:val="1"/>
    <w:qFormat/>
    <w:uiPriority w:val="0"/>
    <w:pPr>
      <w:adjustRightInd w:val="0"/>
      <w:snapToGrid w:val="0"/>
      <w:spacing w:line="600" w:lineRule="atLeast"/>
      <w:ind w:firstLine="640"/>
    </w:pPr>
    <w:rPr>
      <w:rFonts w:ascii="仿宋_GB2312" w:hAnsi="仿宋_GB2312"/>
      <w:sz w:val="20"/>
      <w:szCs w:val="20"/>
    </w:rPr>
  </w:style>
  <w:style w:type="character" w:customStyle="1" w:styleId="16">
    <w:name w:val="NormalCharacter"/>
    <w:link w:val="17"/>
    <w:qFormat/>
    <w:uiPriority w:val="0"/>
    <w:rPr>
      <w:rFonts w:asciiTheme="minorHAnsi" w:hAnsiTheme="minorHAnsi" w:eastAsiaTheme="minorEastAsia" w:cstheme="minorBidi"/>
      <w:szCs w:val="21"/>
    </w:rPr>
  </w:style>
  <w:style w:type="paragraph" w:customStyle="1" w:styleId="17">
    <w:name w:val="UserStyle_7"/>
    <w:basedOn w:val="1"/>
    <w:link w:val="16"/>
    <w:qFormat/>
    <w:uiPriority w:val="0"/>
    <w:rPr>
      <w:rFonts w:asciiTheme="minorHAnsi" w:hAnsiTheme="minorHAnsi" w:eastAsiaTheme="minorEastAsia" w:cstheme="minorBidi"/>
      <w:szCs w:val="21"/>
    </w:rPr>
  </w:style>
  <w:style w:type="paragraph" w:styleId="18">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7"/>
    <customShpInfo spid="_x0000_s2058"/>
    <customShpInfo spid="_x0000_s2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68</Pages>
  <Words>22221</Words>
  <Characters>22594</Characters>
  <Lines>2</Lines>
  <Paragraphs>1</Paragraphs>
  <TotalTime>29</TotalTime>
  <ScaleCrop>false</ScaleCrop>
  <LinksUpToDate>false</LinksUpToDate>
  <CharactersWithSpaces>22645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2021-05-19T07:44:00Z</dcterms:created>
  <dc:creator>AutoBVT</dc:creator>
  <cp:lastModifiedBy>WPS_1647563553</cp:lastModifiedBy>
  <dcterms:modified xsi:type="dcterms:W3CDTF">2025-02-12T03:56:52Z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3D1B859179434D84AA10482EF6FCD35A</vt:lpwstr>
  </property>
  <property fmtid="{D5CDD505-2E9C-101B-9397-08002B2CF9AE}" pid="4" name="KSOTemplateDocerSaveRecord">
    <vt:lpwstr>eyJoZGlkIjoiMmRiYmQ2ZThkYTFjZGYyOGEyYzI3M2M0N2UxZWU5MTgiLCJ1c2VySWQiOiIxMzQ2OTcwNjA3In0=</vt:lpwstr>
  </property>
</Properties>
</file>