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5000" w:type="pct"/>
        <w:tblCellSpacing w:w="15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6"/>
        <w:gridCol w:w="2089"/>
        <w:gridCol w:w="1552"/>
        <w:gridCol w:w="1373"/>
        <w:gridCol w:w="2552"/>
      </w:tblGrid>
      <w:tr w14:paraId="77A55D8A">
        <w:trPr>
          <w:tblCellSpacing w:w="15" w:type="dxa"/>
        </w:trPr>
        <w:tc>
          <w:tcPr>
            <w:tcW w:w="0" w:type="auto"/>
            <w:gridSpan w:val="5"/>
            <w:vAlign w:val="center"/>
          </w:tcPr>
          <w:p w14:paraId="3A8A3ECC">
            <w:pPr>
              <w:spacing w:line="600" w:lineRule="atLeast"/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  <w:bookmarkStart w:id="1" w:name="_GoBack"/>
            <w:bookmarkEnd w:id="1"/>
            <w:r>
              <w:rPr>
                <w:rFonts w:hint="eastAsia" w:ascii="方正小标宋简体" w:eastAsia="方正小标宋简体"/>
                <w:color w:val="FF0000"/>
                <w:sz w:val="44"/>
                <w:szCs w:val="44"/>
              </w:rPr>
              <w:t>政协柳州市十三届四次会议第113号提案</w:t>
            </w:r>
            <w:r>
              <w:rPr>
                <w:rFonts w:hint="eastAsia" w:ascii="方正小标宋简体" w:eastAsia="方正小标宋简体"/>
                <w:sz w:val="44"/>
                <w:szCs w:val="44"/>
              </w:rPr>
              <w:t xml:space="preserve"> </w:t>
            </w:r>
          </w:p>
        </w:tc>
      </w:tr>
      <w:tr w14:paraId="7AECD4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8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</w:tcPr>
          <w:p w14:paraId="295226BC">
            <w:pPr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案 由</w:t>
            </w:r>
          </w:p>
          <w:p w14:paraId="18348061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(标题) 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2196AC8">
            <w:pPr>
              <w:spacing w:line="375" w:lineRule="atLeas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关于治理弃耕抛荒基本农田的建议</w:t>
            </w:r>
          </w:p>
        </w:tc>
      </w:tr>
      <w:tr w14:paraId="3FB4C4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850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</w:tcPr>
          <w:p w14:paraId="7CE71AA1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提案者 </w:t>
            </w:r>
          </w:p>
        </w:tc>
        <w:tc>
          <w:tcPr>
            <w:tcW w:w="1150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</w:tcPr>
          <w:p w14:paraId="6691D463">
            <w:pPr>
              <w:spacing w:line="375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bookmarkStart w:id="0" w:name="_Hlk84699208"/>
            <w:r>
              <w:rPr>
                <w:rFonts w:hint="eastAsia" w:ascii="仿宋" w:hAnsi="仿宋" w:eastAsia="仿宋"/>
                <w:sz w:val="28"/>
                <w:szCs w:val="28"/>
              </w:rPr>
              <w:t>唐方</w:t>
            </w:r>
            <w:bookmarkEnd w:id="0"/>
          </w:p>
        </w:tc>
        <w:tc>
          <w:tcPr>
            <w:tcW w:w="850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</w:tcPr>
          <w:p w14:paraId="4EE4636D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联系电话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</w:tcPr>
          <w:p w14:paraId="463CF0B4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17307726901 </w:t>
            </w:r>
          </w:p>
        </w:tc>
      </w:tr>
      <w:tr w14:paraId="260E38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850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</w:tcPr>
          <w:p w14:paraId="0183A2BD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单位及职务 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B82B4FA">
            <w:pPr>
              <w:wordWrap w:val="0"/>
              <w:spacing w:line="375" w:lineRule="atLeas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柳州市人民检察院法律政策研究室副主任、四级高级检察官</w:t>
            </w:r>
          </w:p>
        </w:tc>
      </w:tr>
      <w:tr w14:paraId="30A4C0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850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</w:tcPr>
          <w:p w14:paraId="65FB7755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地址及邮编 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8229173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柳州市城中区高新一路1号柳州市人民检察院（545006） </w:t>
            </w:r>
          </w:p>
        </w:tc>
      </w:tr>
      <w:tr w14:paraId="55B9E4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850" w:type="pc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33E7732E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是否涉密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300" w:type="dxa"/>
              <w:left w:w="150" w:type="dxa"/>
              <w:bottom w:w="300" w:type="dxa"/>
              <w:right w:w="150" w:type="dxa"/>
            </w:tcMar>
            <w:vAlign w:val="center"/>
          </w:tcPr>
          <w:p w14:paraId="0668AF3A"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否 </w:t>
            </w:r>
          </w:p>
        </w:tc>
        <w:tc>
          <w:tcPr>
            <w:tcW w:w="750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E702662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是否公开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300" w:type="dxa"/>
              <w:left w:w="120" w:type="dxa"/>
              <w:bottom w:w="300" w:type="dxa"/>
              <w:right w:w="120" w:type="dxa"/>
            </w:tcMar>
            <w:vAlign w:val="center"/>
          </w:tcPr>
          <w:p w14:paraId="14DD0539"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是 </w:t>
            </w:r>
          </w:p>
        </w:tc>
      </w:tr>
      <w:tr w14:paraId="23F81A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850" w:type="pct"/>
            <w:vMerge w:val="restar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</w:tcPr>
          <w:p w14:paraId="6F9DD878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办理意见 </w:t>
            </w:r>
          </w:p>
        </w:tc>
        <w:tc>
          <w:tcPr>
            <w:tcW w:w="1100" w:type="pc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3BD6C83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主办单位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F85C4BE"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</w:t>
            </w:r>
          </w:p>
        </w:tc>
      </w:tr>
      <w:tr w14:paraId="0584B8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vMerge w:val="continue"/>
            <w:tcBorders>
              <w:top w:val="nil"/>
              <w:left w:val="single" w:color="000000" w:sz="6" w:space="0"/>
              <w:bottom w:val="nil"/>
              <w:right w:val="single" w:color="000000" w:sz="6" w:space="0"/>
            </w:tcBorders>
            <w:vAlign w:val="center"/>
          </w:tcPr>
          <w:p w14:paraId="77992451">
            <w:pPr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nil"/>
              <w:right w:val="single" w:color="000000" w:sz="6" w:space="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CACE960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协办单位 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single" w:color="000000" w:sz="6" w:space="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544AA4F"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</w:t>
            </w:r>
          </w:p>
        </w:tc>
      </w:tr>
      <w:tr w14:paraId="2C1370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tcBorders>
              <w:top w:val="nil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285D6432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提案联系人</w:t>
            </w:r>
          </w:p>
        </w:tc>
        <w:tc>
          <w:tcPr>
            <w:tcW w:w="1100" w:type="pct"/>
            <w:tcBorders>
              <w:top w:val="single" w:color="auto" w:sz="4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D897C27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唐方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2E2A6BA"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17307726901</w:t>
            </w:r>
          </w:p>
        </w:tc>
      </w:tr>
    </w:tbl>
    <w:p w14:paraId="6BE675BB">
      <w:pPr>
        <w:rPr>
          <w:vanish/>
        </w:rPr>
      </w:pPr>
    </w:p>
    <w:tbl>
      <w:tblPr>
        <w:tblStyle w:val="5"/>
        <w:tblW w:w="5000" w:type="pct"/>
        <w:tblCellSpacing w:w="15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920"/>
        <w:gridCol w:w="4203"/>
        <w:gridCol w:w="100"/>
        <w:gridCol w:w="909"/>
      </w:tblGrid>
      <w:tr w14:paraId="22C041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gridSpan w:val="4"/>
            <w:tcMar>
              <w:top w:w="300" w:type="dxa"/>
              <w:left w:w="0" w:type="dxa"/>
              <w:bottom w:w="0" w:type="dxa"/>
              <w:right w:w="0" w:type="dxa"/>
            </w:tcMar>
            <w:vAlign w:val="center"/>
          </w:tcPr>
          <w:p w14:paraId="4020C519">
            <w:pPr>
              <w:spacing w:line="525" w:lineRule="atLeast"/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  <w:r>
              <w:rPr>
                <w:rFonts w:hint="eastAsia" w:ascii="方正小标宋简体" w:eastAsia="方正小标宋简体"/>
                <w:sz w:val="44"/>
                <w:szCs w:val="44"/>
              </w:rPr>
              <w:t xml:space="preserve">联 名 者 </w:t>
            </w:r>
          </w:p>
        </w:tc>
      </w:tr>
      <w:tr w14:paraId="46D09D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21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312BB69">
            <w:pPr>
              <w:wordWrap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联名者姓名 </w:t>
            </w:r>
          </w:p>
        </w:tc>
        <w:tc>
          <w:tcPr>
            <w:tcW w:w="2323" w:type="pc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14:paraId="15359C47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联系方式</w:t>
            </w:r>
          </w:p>
        </w:tc>
        <w:tc>
          <w:tcPr>
            <w:tcW w:w="39" w:type="pct"/>
            <w:vAlign w:val="center"/>
          </w:tcPr>
          <w:p w14:paraId="59488E44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527FA134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 w14:paraId="488551EE">
      <w:pPr>
        <w:pStyle w:val="4"/>
        <w:spacing w:line="900" w:lineRule="atLeas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/>
        </w:rPr>
        <w:br w:type="page"/>
      </w:r>
      <w:r>
        <w:rPr>
          <w:rFonts w:hint="eastAsia" w:ascii="方正小标宋简体" w:eastAsia="方正小标宋简体"/>
          <w:sz w:val="36"/>
          <w:szCs w:val="36"/>
        </w:rPr>
        <w:t>关于治理弃耕抛荒基本农田的建议</w:t>
      </w:r>
    </w:p>
    <w:p w14:paraId="139ACAC3">
      <w:pPr>
        <w:pStyle w:val="4"/>
        <w:spacing w:line="600" w:lineRule="atLeast"/>
        <w:jc w:val="center"/>
        <w:rPr>
          <w:rFonts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提案者 唐方</w:t>
      </w:r>
    </w:p>
    <w:p w14:paraId="4EA2642E">
      <w:pPr>
        <w:pStyle w:val="4"/>
        <w:spacing w:before="0" w:beforeAutospacing="0" w:after="0" w:afterAutospacing="0" w:line="558" w:lineRule="atLeast"/>
        <w:ind w:firstLine="560" w:firstLineChars="20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基本农田是耕地的优质和精华部分，是重要的农业资源，是保障国家粮食安全的重要基础。弃耕抛荒基本农田会导致耕地资源的浪费，还严重影响粮食产出，危害国家粮食安全。</w:t>
      </w:r>
    </w:p>
    <w:p w14:paraId="3828F215">
      <w:pPr>
        <w:pStyle w:val="4"/>
        <w:spacing w:before="0" w:beforeAutospacing="0" w:after="0" w:afterAutospacing="0" w:line="558" w:lineRule="atLeast"/>
        <w:ind w:firstLine="560" w:firstLineChars="20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存在问题：</w:t>
      </w:r>
    </w:p>
    <w:p w14:paraId="0FA9D013">
      <w:pPr>
        <w:pStyle w:val="4"/>
        <w:spacing w:before="0" w:beforeAutospacing="0" w:after="0" w:afterAutospacing="0" w:line="558" w:lineRule="atLeast"/>
        <w:ind w:firstLine="560" w:firstLineChars="20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近几年以来，我市融安县泗顶镇三坡村石田、林岗和坡头；融安县浮石镇木瓜村上木瓜屯、泉头村上岭尾屯、东江村粟坡屯和桥头村西茶屯；融安县雅瑶乡黄金村和冠带村；融安县大坡乡岗伟村木万屯等地点连片的基本农田长期无人耕种，共有50余亩。这些基本农田因连续多年被弃耕抛荒，配套的排灌系统和耕作道路均不同程度损坏，农田中长满了杂草，耕作土层已经板结硬化，耕地地力受到损坏，杂草丛生还加重了当地鼠患虫害，影响附近其它农田生产耕种。根据《中华人民共和国土地管理法》第三十八条第一款、《</w:t>
      </w:r>
      <w:r>
        <w:rPr>
          <w:rFonts w:hint="eastAsia"/>
          <w:sz w:val="28"/>
          <w:szCs w:val="28"/>
          <w:lang w:eastAsia="zh-CN"/>
        </w:rPr>
        <w:t>中华人民共和国农村土地承包法</w:t>
      </w:r>
      <w:r>
        <w:rPr>
          <w:rFonts w:hint="eastAsia"/>
          <w:sz w:val="28"/>
          <w:szCs w:val="28"/>
        </w:rPr>
        <w:t>》第六十四条和《中华人民共和国基本农田保护条例》第十八条的规定，禁止任何单位和个人闲置、荒芜基本农田，承包经营者连续2年弃耕抛荒，发包方终止承包合同，收回发包的基本农田。撂荒基本农田的原因主要有：一是农村大量剩余劳动力转移到工业加工领域工作，导致农村劳动力不足；二是农村经济产业结构调整，农民主要精力和投入集中在效益较高的经济作物，对于粮、油、菜等种植热情不高；三是行政主管单位对基本农田保护法律和政策宣传力度还不够，引导农户复耕、出租和流转的工作还不足，对基本农田配套的水渠和道路的维护不到。</w:t>
      </w:r>
    </w:p>
    <w:p w14:paraId="206CDE98">
      <w:pPr>
        <w:pStyle w:val="4"/>
        <w:spacing w:before="0" w:beforeAutospacing="0" w:after="0" w:afterAutospacing="0" w:line="558" w:lineRule="atLeast"/>
        <w:ind w:firstLine="560" w:firstLineChars="20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建议：</w:t>
      </w:r>
    </w:p>
    <w:p w14:paraId="2087B3A9">
      <w:pPr>
        <w:pStyle w:val="4"/>
        <w:spacing w:before="0" w:beforeAutospacing="0" w:after="0" w:afterAutospacing="0" w:line="558" w:lineRule="atLeast"/>
        <w:ind w:firstLine="560" w:firstLineChars="20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农业行政管理部门和乡镇的人民政府应加强基本农田的保护和管理。</w:t>
      </w:r>
    </w:p>
    <w:p w14:paraId="15B33323">
      <w:pPr>
        <w:pStyle w:val="4"/>
        <w:spacing w:before="0" w:beforeAutospacing="0" w:after="0" w:afterAutospacing="0" w:line="558" w:lineRule="atLeast"/>
        <w:ind w:firstLine="560" w:firstLineChars="20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一是加大对基本农田保护宣传力度，提高农民的法律意识和保护意识。通过开展宣传教育活动和修建基本农田保护标识牌等，向农民普及基本农田保护法律和政策，让他们认识到保护基本农田的重要性和必要性。</w:t>
      </w:r>
    </w:p>
    <w:p w14:paraId="4BE02485">
      <w:pPr>
        <w:pStyle w:val="4"/>
        <w:spacing w:before="0" w:beforeAutospacing="0" w:after="0" w:afterAutospacing="0" w:line="558" w:lineRule="atLeast"/>
        <w:ind w:firstLine="560" w:firstLineChars="20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二是强化对基本农田的的管理和检查，及时发现荒芜情况，并依法采取措施进行处置。</w:t>
      </w:r>
    </w:p>
    <w:p w14:paraId="5B163893">
      <w:pPr>
        <w:pStyle w:val="4"/>
        <w:spacing w:before="0" w:beforeAutospacing="0" w:after="0" w:afterAutospacing="0" w:line="558" w:lineRule="atLeast"/>
        <w:ind w:firstLine="560" w:firstLineChars="20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三是加强基本农田的水渠和道路等设施的维护和建设，改善耕种条件，提高基本农田的耕种效率。</w:t>
      </w:r>
    </w:p>
    <w:p w14:paraId="0FFC6B8E">
      <w:pPr>
        <w:pStyle w:val="4"/>
        <w:spacing w:before="0" w:beforeAutospacing="0" w:after="0" w:afterAutospacing="0" w:line="558" w:lineRule="atLeast"/>
        <w:ind w:firstLine="560" w:firstLineChars="20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四是加大农业种粮政策和补助宣传，提高农民耕作积极性，并提升农业技术指导和服务，为农民提供科学种植方法和技术支持。</w:t>
      </w:r>
    </w:p>
    <w:p w14:paraId="36A155A9">
      <w:pPr>
        <w:pStyle w:val="4"/>
        <w:spacing w:before="0" w:beforeAutospacing="0" w:after="0" w:afterAutospacing="0" w:line="558" w:lineRule="atLeast"/>
        <w:ind w:firstLine="560" w:firstLineChars="20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五是加强农业现代化、集约化和产业化发展，引进技术、产业和资金，培育高标准农业基地，发挥带动和示范作用，促进基本农田荒芜治理。 </w:t>
      </w:r>
    </w:p>
    <w:p w14:paraId="772698FC"/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3402"/>
        <w:gridCol w:w="3402"/>
      </w:tblGrid>
      <w:tr w14:paraId="07B62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exact"/>
        </w:trPr>
        <w:tc>
          <w:tcPr>
            <w:tcW w:w="2268" w:type="dxa"/>
            <w:vMerge w:val="restart"/>
            <w:vAlign w:val="center"/>
          </w:tcPr>
          <w:p w14:paraId="7ACC6A91">
            <w:pPr>
              <w:widowControl w:val="0"/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审查意见</w:t>
            </w:r>
          </w:p>
        </w:tc>
        <w:tc>
          <w:tcPr>
            <w:tcW w:w="3402" w:type="dxa"/>
            <w:vAlign w:val="center"/>
          </w:tcPr>
          <w:p w14:paraId="709B909E">
            <w:pPr>
              <w:widowControl w:val="0"/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</w:rPr>
            </w:pPr>
            <w:r>
              <w:rPr>
                <w:rFonts w:hint="eastAsia" w:ascii="方正小标宋简体" w:eastAsia="方正小标宋简体"/>
                <w:color w:val="FF0000"/>
                <w:sz w:val="52"/>
                <w:szCs w:val="52"/>
              </w:rPr>
              <w:t>立案</w:t>
            </w:r>
          </w:p>
        </w:tc>
        <w:tc>
          <w:tcPr>
            <w:tcW w:w="3402" w:type="dxa"/>
            <w:vMerge w:val="restart"/>
            <w:vAlign w:val="center"/>
          </w:tcPr>
          <w:p w14:paraId="57BC1C6B">
            <w:pPr>
              <w:widowControl w:val="0"/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</w:rPr>
            </w:pPr>
            <w:r>
              <w:rPr>
                <w:rFonts w:hint="default"/>
              </w:rPr>
              <w:drawing>
                <wp:inline distT="0" distB="0" distL="114300" distR="114300">
                  <wp:extent cx="1522730" cy="1511935"/>
                  <wp:effectExtent l="0" t="0" r="1270" b="12065"/>
                  <wp:docPr id="4" name="图片 4" descr="微信图片_202208081529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微信图片_20220808152900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>
                                  <a:alpha val="100000"/>
                                </a:srgbClr>
                              </a:clrFrom>
                              <a:clrTo>
                                <a:srgbClr val="FFFF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2730" cy="1511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2949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268" w:type="dxa"/>
            <w:vMerge w:val="continue"/>
            <w:vAlign w:val="center"/>
          </w:tcPr>
          <w:p w14:paraId="679E55CF">
            <w:pPr>
              <w:widowControl w:val="0"/>
              <w:jc w:val="center"/>
            </w:pPr>
          </w:p>
        </w:tc>
        <w:tc>
          <w:tcPr>
            <w:tcW w:w="3402" w:type="dxa"/>
            <w:vAlign w:val="center"/>
          </w:tcPr>
          <w:p w14:paraId="50CDABB6">
            <w:pPr>
              <w:widowControl w:val="0"/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时间: 2024年01月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16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</w:t>
            </w:r>
          </w:p>
        </w:tc>
        <w:tc>
          <w:tcPr>
            <w:tcW w:w="3402" w:type="dxa"/>
            <w:vMerge w:val="continue"/>
            <w:vAlign w:val="center"/>
          </w:tcPr>
          <w:p w14:paraId="4E06794E">
            <w:pPr>
              <w:widowControl w:val="0"/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</w:rPr>
            </w:pPr>
          </w:p>
        </w:tc>
      </w:tr>
    </w:tbl>
    <w:p w14:paraId="4CA30873"/>
    <w:p w14:paraId="246E76CD">
      <w:pPr>
        <w:jc w:val="both"/>
      </w:pPr>
    </w:p>
    <w:sectPr>
      <w:footerReference r:id="rId3" w:type="default"/>
      <w:pgSz w:w="11906" w:h="16838"/>
      <w:pgMar w:top="1701" w:right="1417" w:bottom="1701" w:left="1417" w:header="851" w:footer="992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方正小标宋简体">
    <w:altName w:val="黑体"/>
    <w:panose1 w:val="02000000000000000000"/>
    <w:charset w:val="86"/>
    <w:family w:val="roman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20C3E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D310AF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AD310AF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460"/>
    <w:rsid w:val="00084BB7"/>
    <w:rsid w:val="0009357C"/>
    <w:rsid w:val="000A06FB"/>
    <w:rsid w:val="000C4460"/>
    <w:rsid w:val="00144B47"/>
    <w:rsid w:val="001B1D35"/>
    <w:rsid w:val="001D799F"/>
    <w:rsid w:val="00330D95"/>
    <w:rsid w:val="003744B1"/>
    <w:rsid w:val="00391A0C"/>
    <w:rsid w:val="003F2551"/>
    <w:rsid w:val="00475F44"/>
    <w:rsid w:val="00562D98"/>
    <w:rsid w:val="0057224B"/>
    <w:rsid w:val="006610D3"/>
    <w:rsid w:val="00672C44"/>
    <w:rsid w:val="006901D5"/>
    <w:rsid w:val="006C5E8B"/>
    <w:rsid w:val="00707165"/>
    <w:rsid w:val="00710C43"/>
    <w:rsid w:val="007413BC"/>
    <w:rsid w:val="007772EB"/>
    <w:rsid w:val="00821DDB"/>
    <w:rsid w:val="008D2233"/>
    <w:rsid w:val="00964F3E"/>
    <w:rsid w:val="009F136F"/>
    <w:rsid w:val="00A4193E"/>
    <w:rsid w:val="00B41404"/>
    <w:rsid w:val="00B60292"/>
    <w:rsid w:val="00BF266F"/>
    <w:rsid w:val="00BF6E60"/>
    <w:rsid w:val="00C146B3"/>
    <w:rsid w:val="00D207E9"/>
    <w:rsid w:val="00D45694"/>
    <w:rsid w:val="00DC2F22"/>
    <w:rsid w:val="00E91D71"/>
    <w:rsid w:val="00EB2659"/>
    <w:rsid w:val="00F05D00"/>
    <w:rsid w:val="00F35EB1"/>
    <w:rsid w:val="00F765A3"/>
    <w:rsid w:val="00FA6583"/>
    <w:rsid w:val="13FB6274"/>
    <w:rsid w:val="5FDF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table" w:styleId="6">
    <w:name w:val="Table Grid"/>
    <w:basedOn w:val="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msonormal"/>
    <w:basedOn w:val="1"/>
    <w:qFormat/>
    <w:uiPriority w:val="99"/>
    <w:pPr>
      <w:spacing w:before="100" w:beforeAutospacing="1" w:after="100" w:afterAutospacing="1"/>
    </w:pPr>
  </w:style>
  <w:style w:type="character" w:customStyle="1" w:styleId="9">
    <w:name w:val="页眉 字符"/>
    <w:basedOn w:val="7"/>
    <w:link w:val="3"/>
    <w:qFormat/>
    <w:uiPriority w:val="99"/>
    <w:rPr>
      <w:rFonts w:ascii="宋体" w:hAnsi="宋体" w:eastAsia="宋体" w:cs="宋体"/>
      <w:sz w:val="18"/>
      <w:szCs w:val="18"/>
    </w:rPr>
  </w:style>
  <w:style w:type="character" w:customStyle="1" w:styleId="10">
    <w:name w:val="页脚 字符"/>
    <w:basedOn w:val="7"/>
    <w:link w:val="2"/>
    <w:qFormat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1082</Words>
  <Characters>1115</Characters>
  <Lines>3</Lines>
  <Paragraphs>1</Paragraphs>
  <TotalTime>0</TotalTime>
  <ScaleCrop>false</ScaleCrop>
  <LinksUpToDate>false</LinksUpToDate>
  <CharactersWithSpaces>1140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2021-10-09T19:38:00Z</dcterms:created>
  <dc:creator>2013143581@qq.com</dc:creator>
  <cp:lastModifiedBy>WPS_1647563553</cp:lastModifiedBy>
  <dcterms:modified xsi:type="dcterms:W3CDTF">2025-02-08T08:41:07Z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eyJoZGlkIjoiMmRiYmQ2ZThkYTFjZGYyOGEyYzI3M2M0N2UxZWU5MTgiLCJ1c2VySWQiOiIxMzQ2OTcwNjA3In0=</vt:lpwstr>
  </property>
  <property fmtid="{D5CDD505-2E9C-101B-9397-08002B2CF9AE}" pid="4" name="ICV">
    <vt:lpwstr>9CA17EFA706B444AAB6CFF0C057266FF_12</vt:lpwstr>
  </property>
</Properties>
</file>