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农村公路日常养护作业标准</w:t>
      </w: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一、路肩：</w:t>
      </w:r>
      <w:r>
        <w:rPr>
          <w:rFonts w:hint="eastAsia" w:ascii="仿宋_GB2312" w:hAnsi="仿宋_GB2312" w:eastAsia="仿宋_GB2312" w:cs="仿宋_GB2312"/>
        </w:rPr>
        <w:t>路肩应保持平整、坚实、横坡适顺。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t>土路肩或草皮路肩的横坡应略大于路面横坡</w:t>
      </w:r>
      <w:r>
        <w:rPr>
          <w:rFonts w:hint="eastAsia"/>
        </w:rPr>
        <w:t>，</w:t>
      </w:r>
      <w:r>
        <w:t>硬路肩与路面同坡。路肩要保持与路面平滑过度和清洁</w:t>
      </w:r>
      <w:r>
        <w:rPr>
          <w:rFonts w:hint="eastAsia"/>
        </w:rPr>
        <w:t>，</w:t>
      </w:r>
      <w:r>
        <w:t>路肩杂草不得高于路10公分</w:t>
      </w:r>
      <w:r>
        <w:rPr>
          <w:rFonts w:hint="eastAsia"/>
        </w:rPr>
        <w:t>，</w:t>
      </w:r>
      <w:r>
        <w:t>路基边缘不允许有大于10公分的缺口</w:t>
      </w:r>
      <w:r>
        <w:rPr>
          <w:rFonts w:hint="eastAsia"/>
        </w:rPr>
        <w:t>，</w:t>
      </w:r>
      <w:r>
        <w:t>要确保边线顺直、圆滑。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二、边坡：</w:t>
      </w:r>
      <w:r>
        <w:rPr>
          <w:rFonts w:hint="eastAsia" w:ascii="仿宋_GB2312" w:hAnsi="仿宋_GB2312" w:eastAsia="仿宋_GB2312" w:cs="仿宋_GB2312"/>
        </w:rPr>
        <w:t>路基边坡应保持平顺、坚实。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t>遇有缺口、坍塌、高边坡碎落、侧滑病害</w:t>
      </w:r>
      <w:r>
        <w:rPr>
          <w:rFonts w:hint="eastAsia"/>
        </w:rPr>
        <w:t>，</w:t>
      </w:r>
      <w:r>
        <w:t>应分别采取各种相应的加固整修。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三、排水设施：</w:t>
      </w:r>
      <w:r>
        <w:rPr>
          <w:rFonts w:hint="eastAsia" w:ascii="仿宋_GB2312" w:hAnsi="仿宋_GB2312" w:eastAsia="仿宋_GB2312" w:cs="仿宋_GB2312"/>
        </w:rPr>
        <w:t>路基排水设施应保持排水畅通。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t>如有冲刷、堵塞</w:t>
      </w:r>
      <w:r>
        <w:rPr>
          <w:rFonts w:hint="eastAsia"/>
        </w:rPr>
        <w:t>和</w:t>
      </w:r>
      <w:r>
        <w:t>损坏</w:t>
      </w:r>
      <w:r>
        <w:rPr>
          <w:rFonts w:hint="eastAsia"/>
        </w:rPr>
        <w:t>，</w:t>
      </w:r>
      <w:r>
        <w:t>应及时疏通、修复或加固</w:t>
      </w:r>
      <w:r>
        <w:rPr>
          <w:rFonts w:hint="eastAsia"/>
        </w:rPr>
        <w:t>；</w:t>
      </w:r>
      <w:r>
        <w:t>对暗沟、渗沟等隐蔽性排水设施</w:t>
      </w:r>
      <w:r>
        <w:rPr>
          <w:rFonts w:hint="eastAsia"/>
        </w:rPr>
        <w:t>，</w:t>
      </w:r>
      <w:r>
        <w:t>应加强检查</w:t>
      </w:r>
      <w:r>
        <w:rPr>
          <w:rFonts w:hint="eastAsia"/>
        </w:rPr>
        <w:t>，</w:t>
      </w:r>
      <w:r>
        <w:t>防止淤塞</w:t>
      </w:r>
      <w:r>
        <w:rPr>
          <w:rFonts w:hint="eastAsia"/>
        </w:rPr>
        <w:t>，</w:t>
      </w:r>
      <w:r>
        <w:t>如有淤塞</w:t>
      </w:r>
      <w:r>
        <w:rPr>
          <w:rFonts w:hint="eastAsia"/>
        </w:rPr>
        <w:t>，</w:t>
      </w:r>
      <w:r>
        <w:t>应及时修理、疏通。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四、挡土墙：</w:t>
      </w:r>
      <w:r>
        <w:rPr>
          <w:rFonts w:hint="eastAsia" w:ascii="仿宋_GB2312" w:hAnsi="仿宋_GB2312" w:eastAsia="仿宋_GB2312" w:cs="仿宋_GB2312"/>
        </w:rPr>
        <w:t>保持挡土墙的泄水孔畅通，定期检查和维修，清理伸缩缝、沉降缝，使其正常发挥作用。</w:t>
      </w:r>
    </w:p>
    <w:p>
      <w:pPr>
        <w:spacing w:line="560" w:lineRule="exact"/>
        <w:ind w:firstLine="632" w:firstLineChars="200"/>
      </w:pPr>
      <w:r>
        <w:t>发现病害应查明原因</w:t>
      </w:r>
      <w:r>
        <w:rPr>
          <w:rFonts w:hint="eastAsia"/>
        </w:rPr>
        <w:t>，</w:t>
      </w:r>
      <w:r>
        <w:t>并观察其发展趋势</w:t>
      </w:r>
      <w:r>
        <w:rPr>
          <w:rFonts w:hint="eastAsia"/>
        </w:rPr>
        <w:t>，</w:t>
      </w:r>
      <w:r>
        <w:t>采取相应的修复、加固等措施。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五、路面：</w:t>
      </w:r>
      <w:r>
        <w:rPr>
          <w:rFonts w:hint="eastAsia" w:ascii="仿宋_GB2312" w:hAnsi="仿宋_GB2312" w:eastAsia="仿宋_GB2312" w:cs="仿宋_GB2312"/>
        </w:rPr>
        <w:t>经常清扫路面，及时清除杂物、积水，保持路面整洁，做好路面排水。</w:t>
      </w:r>
    </w:p>
    <w:p>
      <w:pPr>
        <w:spacing w:line="560" w:lineRule="exact"/>
        <w:ind w:firstLine="632" w:firstLineChars="200"/>
      </w:pPr>
      <w:r>
        <w:rPr>
          <w:rFonts w:hint="eastAsia" w:ascii="楷体_GB2312" w:hAnsi="楷体_GB2312" w:eastAsia="楷体_GB2312" w:cs="楷体_GB2312"/>
          <w:b/>
          <w:bCs/>
        </w:rPr>
        <w:t>（一）沥青路面：</w:t>
      </w:r>
      <w:r>
        <w:t>加强路况巡查</w:t>
      </w:r>
      <w:r>
        <w:rPr>
          <w:rFonts w:hint="eastAsia"/>
        </w:rPr>
        <w:t>，</w:t>
      </w:r>
      <w:r>
        <w:t>掌握路面的使用状况保持路面处于整洁、良好的技术状况。及时发现病害，研究分析病害产生的原因，并有针对性地及时对病害进行维修处理，防止病害扩大。对坑槽、沉陷、车辙等需将原路面面层挖除后进行机械修补作业的病害，列入小修，宜当日开挖当日修补，并设置警示标志保障行车安全，修补面积应大于病害的实际面积，修补范围的轮廓线应与路面中心线平行或垂直，并在病害面积范围以外100-150MM。应采取措施使修补部分与原路面联结紧密。</w:t>
      </w:r>
    </w:p>
    <w:p>
      <w:pPr>
        <w:spacing w:line="560" w:lineRule="exact"/>
        <w:ind w:firstLine="632" w:firstLineChars="200"/>
      </w:pPr>
      <w:r>
        <w:rPr>
          <w:rFonts w:hint="eastAsia" w:ascii="楷体_GB2312" w:hAnsi="楷体_GB2312" w:eastAsia="楷体_GB2312" w:cs="楷体_GB2312"/>
          <w:b/>
          <w:bCs/>
        </w:rPr>
        <w:t>（二）水泥混凝土路面：</w:t>
      </w:r>
      <w:r>
        <w:t>做好预防性、经常性的保养和破损修补，保持路面处于良好的技术状况与服务水平。</w:t>
      </w:r>
    </w:p>
    <w:p>
      <w:pPr>
        <w:spacing w:line="560" w:lineRule="exact"/>
        <w:ind w:firstLine="632" w:firstLineChars="200"/>
      </w:pPr>
      <w:r>
        <w:t>水泥</w:t>
      </w:r>
      <w:r>
        <w:rPr>
          <w:rFonts w:hint="eastAsia"/>
        </w:rPr>
        <w:t>砼</w:t>
      </w:r>
      <w:r>
        <w:t>路面发生拱起、胀起、坑洞等病害应及时采取措施进行处治。路面损坏状况指数评价为中及以上的，可局部或个别板块修补。</w:t>
      </w:r>
    </w:p>
    <w:p>
      <w:pPr>
        <w:spacing w:line="560" w:lineRule="exact"/>
        <w:ind w:firstLine="632" w:firstLineChars="200"/>
      </w:pPr>
      <w:r>
        <w:rPr>
          <w:rFonts w:hint="eastAsia" w:ascii="楷体_GB2312" w:hAnsi="楷体_GB2312" w:eastAsia="楷体_GB2312" w:cs="楷体_GB2312"/>
          <w:b/>
          <w:bCs/>
        </w:rPr>
        <w:t>（三）砂石路面：</w:t>
      </w:r>
      <w:r>
        <w:t>保持路面平整坚实防止和修复路面的破损和变形，路面与路肩平整坚实、高差不得大于20MM，保持路面排水良好。</w:t>
      </w:r>
    </w:p>
    <w:p>
      <w:pPr>
        <w:spacing w:line="560" w:lineRule="exact"/>
        <w:ind w:firstLine="632" w:firstLineChars="200"/>
      </w:pPr>
      <w:r>
        <w:t>发现路面波浪、坑槽、车辙等病害应及时维修，按原路面厚度、材料和操作方法铺筑。加厚层的压实厚度最小不得小于80MM，超过120MM时应分层铺筑其上层厚度宜为全部加厚层的40%</w:t>
      </w:r>
      <w:r>
        <w:rPr>
          <w:rFonts w:hint="eastAsia"/>
        </w:rPr>
        <w:t>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六、桥梁、涵洞：</w:t>
      </w:r>
      <w:r>
        <w:rPr>
          <w:rFonts w:hint="eastAsia" w:ascii="仿宋_GB2312" w:hAnsi="仿宋_GB2312" w:eastAsia="仿宋_GB2312" w:cs="仿宋_GB2312"/>
        </w:rPr>
        <w:t>桥涵外观整治；桥头顺适排水、伸缩缝、支座、护墙、栏杆、标志等设施齐全良好；结构无损坏；基础无冲刷、淘空。</w:t>
      </w:r>
    </w:p>
    <w:p>
      <w:pPr>
        <w:spacing w:line="560" w:lineRule="exact"/>
        <w:ind w:firstLine="632" w:firstLineChars="200"/>
      </w:pPr>
      <w:r>
        <w:rPr>
          <w:rFonts w:hint="eastAsia" w:ascii="楷体_GB2312" w:hAnsi="楷体_GB2312" w:eastAsia="楷体_GB2312" w:cs="楷体_GB2312"/>
          <w:b/>
          <w:bCs/>
        </w:rPr>
        <w:t>（一）桥梁：</w:t>
      </w:r>
      <w:r>
        <w:t>以桥梁结构安全为中心，以承重部件为重点，发现隐患或病害及时处治。及时清除表面污垢，孔洞、破损、剥落、表面风化及时修补，端头、梁体底面、隔板表面适时清扫，排除积土。箱形截面结构应保持箱内通风，减少因箱内外温差可能引起的裂缝。对梁</w:t>
      </w:r>
      <w:r>
        <w:rPr>
          <w:rFonts w:hint="eastAsia"/>
        </w:rPr>
        <w:t>（</w:t>
      </w:r>
      <w:r>
        <w:t>板</w:t>
      </w:r>
      <w:r>
        <w:rPr>
          <w:rFonts w:hint="eastAsia"/>
        </w:rPr>
        <w:t>）</w:t>
      </w:r>
      <w:r>
        <w:t>体混凝土的空洞、蜂窝、麻面、表面风化、剥落等应进行修补，并切实防止钢筋因混凝土碳化引起锈蚀。人行道块件应牢固、完整，桥面路缘石应保持良好状态。若出现松动、缺损，应及时进行修整或更换。桥梁栏杆包括钢筋混凝土及钢质护栏、防撞护栏等，应保持良好的技术状况。如有缺损，应及时修复。因栏杆损坏而采取临时防护措施时，使用时间不得超过3个月。钢质栏杆应涂漆防锈，每年一次。桥梁两端的栏杆柱或防撞墙端面，涂有立面标记或示警标志的，应定期涂刷，一年一次，使油漆颜色保持鲜明。桥上的交通标志和标线、防眩板、防护隔离等设施应齐全、醒目、牢固，标志板应保持整洁、无裂纹和残缺。若有损坏应及时整个或更换。锥坡应保持良好，开裂、沉陷、冲空时应及时采取措施进行维修加固。</w:t>
      </w:r>
    </w:p>
    <w:p>
      <w:pPr>
        <w:spacing w:line="560" w:lineRule="exact"/>
        <w:ind w:firstLine="632" w:firstLineChars="200"/>
      </w:pPr>
      <w:r>
        <w:rPr>
          <w:rFonts w:hint="eastAsia" w:ascii="楷体_GB2312" w:hAnsi="楷体_GB2312" w:eastAsia="楷体_GB2312" w:cs="楷体_GB2312"/>
          <w:b/>
          <w:bCs/>
        </w:rPr>
        <w:t>（二）涵洞：</w:t>
      </w:r>
      <w:r>
        <w:t>保持洞口清洁无杂物，洞口内排水畅通，无淤塞。涵洞进水口的沉沙井和出水口的跌水构造适时检查其是否损坏、与洞口是否结合成整体，发现损坏或发现裂隙甚至脱离，应及时修复加固。涵底铺砌，洞口上下游路基护坡、引水沟、泄水槽、沉沙井发生变形或出现缺口，应及时修理或封塞填平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七、交通标志：</w:t>
      </w:r>
      <w:r>
        <w:t>交通标志版面整洁、清晰，标志板、支柱、连接件、基础等标志部件应完整、无缺损。标志面应平整，无明显褪色、污损、起泡、起皱、裂纹、剥落病害。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八、路面标线：</w:t>
      </w:r>
      <w:r>
        <w:t>边缘整齐、线形流畅，无大面积脱落。颜色、线形等应符合相关标准要求。重新画设的标线应与旧标线基本重合，反光标线应保持良好的夜间视认性。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九、波形梁钢护栏：</w:t>
      </w:r>
      <w:r>
        <w:t>保持波形梁钢护栏的结构合理、安全可靠。护栏板、立柱、柱帽、防阻块</w:t>
      </w:r>
      <w:r>
        <w:rPr>
          <w:rFonts w:hint="eastAsia"/>
        </w:rPr>
        <w:t>（</w:t>
      </w:r>
      <w:r>
        <w:t>托架</w:t>
      </w:r>
      <w:r>
        <w:rPr>
          <w:rFonts w:hint="eastAsia"/>
        </w:rPr>
        <w:t>）</w:t>
      </w:r>
      <w:r>
        <w:t>、坚固件等部件应完整、无缺损，护栏的防腐层应无明显脱落，护栏无锈蚀。护栏板搭接方向正确，螺栓坚固，护栏安装线形顺畅，无明显变形、扭转、倾斜。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十、水泥混凝土护栏：</w:t>
      </w:r>
      <w:r>
        <w:t>保持水泥混凝土护栏线形顺畅、结构合理，水泥混凝土护栏应无明显裂缝、掉角、破损等缺陷。水泥混凝土护栏的几何尺寸、地基强度、埋置深度，以及各块件之间、护栏与基础之间的连接应符合设计要求。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十一、轮廓标：</w:t>
      </w:r>
      <w:r>
        <w:t>轮廓标应进行表面清洗，轮廓标应无缺损，轮廓标应无明显的褪色，轮廓标的光度性能应保持其在夜间良好的视认性。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十二、其他交通安全设施：</w:t>
      </w:r>
      <w:r>
        <w:t>应保持里程碑、百米桩、道口标柱、公路界碑、锥形交通路标、公路防撞桶、减速垫、示警标柱等交通安全设施的清洁完整和功能正常，损失要及时修补。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十三、公路绿化：</w:t>
      </w:r>
      <w:r>
        <w:t>及时检查、补植、浇水、除草、松土、施肥、整形等。绿化植物郁闭后，应及时修剪抚育。保护绿化路段的树木，发现未经许可的砍伐路树行为及时制止，并及时向公路养护管理单位上报。路边树木要修剪整齐，必须进行精心管理养护，保障在承包期间，不影响道路通行。因台风或其他原因倒伏或折枝影响公路通行的，应及时修整。</w:t>
      </w:r>
    </w:p>
    <w:p>
      <w:pPr>
        <w:spacing w:line="560" w:lineRule="exact"/>
        <w:rPr>
          <w:rFonts w:ascii="黑体" w:hAnsi="黑体" w:eastAsia="黑体" w:cs="黑体"/>
        </w:rPr>
      </w:pPr>
      <w:r>
        <w:br w:type="page"/>
      </w:r>
      <w:r>
        <w:rPr>
          <w:rFonts w:hint="eastAsia" w:ascii="黑体" w:hAnsi="黑体" w:eastAsia="黑体" w:cs="黑体"/>
        </w:rPr>
        <w:t>附件2</w:t>
      </w:r>
    </w:p>
    <w:p>
      <w:pPr>
        <w:spacing w:line="560" w:lineRule="exact"/>
        <w:rPr>
          <w:rFonts w:ascii="黑体" w:hAnsi="黑体" w:eastAsia="黑体" w:cs="黑体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县（区）农村公路日常巡查（安全巡查）/养护记录表</w:t>
      </w:r>
    </w:p>
    <w:p>
      <w:pPr>
        <w:spacing w:line="560" w:lineRule="exact"/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路线名：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管理单位：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日常养护单位</w:t>
      </w:r>
      <w:r>
        <w:rPr>
          <w:rFonts w:hint="eastAsia"/>
          <w:sz w:val="28"/>
          <w:szCs w:val="28"/>
          <w:u w:val="single"/>
        </w:rPr>
        <w:t xml:space="preserve">：                    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53"/>
        <w:gridCol w:w="2465"/>
        <w:gridCol w:w="2089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道路部分</w:t>
            </w:r>
          </w:p>
        </w:tc>
        <w:tc>
          <w:tcPr>
            <w:tcW w:w="246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问题和隐患</w:t>
            </w:r>
          </w:p>
        </w:tc>
        <w:tc>
          <w:tcPr>
            <w:tcW w:w="208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范围</w:t>
            </w:r>
          </w:p>
        </w:tc>
        <w:tc>
          <w:tcPr>
            <w:tcW w:w="309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采取的保养措施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路面</w:t>
            </w:r>
          </w:p>
        </w:tc>
        <w:tc>
          <w:tcPr>
            <w:tcW w:w="2465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沥青路面：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泛油；2.波浪；3.拥包；4.滑溜；5.裂缝（A横向，B纵向，C网状）；6.坑槽；7.松散；8.啃边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水泥路面：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接缝破坏（A挤碎，B拱起，C错台，D唧泥，E错开，F变宽，G填缝料丧失脱落）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混凝土板破坏（A断裂，B裂缝）</w:t>
            </w:r>
          </w:p>
        </w:tc>
        <w:tc>
          <w:tcPr>
            <w:tcW w:w="208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098" w:type="dxa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自行处置：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2.向管理或执法单位报告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边沟</w:t>
            </w:r>
          </w:p>
        </w:tc>
        <w:tc>
          <w:tcPr>
            <w:tcW w:w="2465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1.堵塞；2.砌方崩塌；3.其他；</w:t>
            </w:r>
          </w:p>
        </w:tc>
        <w:tc>
          <w:tcPr>
            <w:tcW w:w="208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098" w:type="dxa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自行处置：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2.向管理或执法单位报告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标识标牌</w:t>
            </w:r>
          </w:p>
        </w:tc>
        <w:tc>
          <w:tcPr>
            <w:tcW w:w="2465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灭失;2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倾斜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老化褪色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其他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08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098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1.自行处置：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2.向管理或执法单位报告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绿化及其他</w:t>
            </w:r>
          </w:p>
        </w:tc>
        <w:tc>
          <w:tcPr>
            <w:tcW w:w="2465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路树被盗伐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路树枯死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涉路施工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089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098" w:type="dxa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1.自行处置：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</w:p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2.向管理或执法单位报告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检查人签名：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rPr>
          <w:rFonts w:ascii="黑体" w:hAnsi="黑体" w:eastAsia="黑体" w:cs="黑体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 w:ascii="黑体" w:hAnsi="黑体" w:eastAsia="黑体" w:cs="黑体"/>
        </w:rPr>
        <w:t>附件3</w:t>
      </w:r>
    </w:p>
    <w:p>
      <w:pPr>
        <w:rPr>
          <w:rFonts w:ascii="黑体" w:hAnsi="黑体" w:eastAsia="黑体" w:cs="黑体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桥梁经常检查记录表</w:t>
      </w:r>
    </w:p>
    <w:p>
      <w:pPr>
        <w:spacing w:line="560" w:lineRule="exact"/>
        <w:jc w:val="center"/>
        <w:rPr>
          <w:rFonts w:eastAsia="宋体"/>
          <w:sz w:val="21"/>
        </w:rPr>
      </w:pPr>
    </w:p>
    <w:p>
      <w:pPr>
        <w:spacing w:line="400" w:lineRule="exact"/>
        <w:jc w:val="left"/>
        <w:rPr>
          <w:sz w:val="21"/>
        </w:rPr>
      </w:pPr>
      <w:r>
        <w:rPr>
          <w:sz w:val="21"/>
        </w:rPr>
        <w:t>管理单位：</w:t>
      </w:r>
      <w:r>
        <w:rPr>
          <w:sz w:val="21"/>
          <w:u w:val="single"/>
        </w:rPr>
        <w:t xml:space="preserve">                  </w:t>
      </w:r>
      <w:r>
        <w:rPr>
          <w:sz w:val="21"/>
        </w:rPr>
        <w:t>日常养护单位：</w:t>
      </w:r>
      <w:r>
        <w:rPr>
          <w:sz w:val="21"/>
          <w:u w:val="single"/>
        </w:rPr>
        <w:t xml:space="preserve">                                 </w:t>
      </w:r>
    </w:p>
    <w:p>
      <w:pPr>
        <w:spacing w:line="400" w:lineRule="exact"/>
        <w:jc w:val="left"/>
        <w:rPr>
          <w:sz w:val="21"/>
        </w:rPr>
      </w:pPr>
      <w:r>
        <w:rPr>
          <w:sz w:val="21"/>
        </w:rPr>
        <w:t>技术状况：</w:t>
      </w:r>
      <w:r>
        <w:rPr>
          <w:rFonts w:hint="eastAsia"/>
          <w:sz w:val="21"/>
          <w:u w:val="single"/>
        </w:rPr>
        <w:t xml:space="preserve"> </w:t>
      </w:r>
      <w:r>
        <w:rPr>
          <w:sz w:val="21"/>
          <w:u w:val="single"/>
        </w:rPr>
        <w:t xml:space="preserve">        </w:t>
      </w:r>
      <w:r>
        <w:rPr>
          <w:sz w:val="21"/>
        </w:rPr>
        <w:t xml:space="preserve"> 评定时间：</w:t>
      </w:r>
      <w:r>
        <w:rPr>
          <w:sz w:val="21"/>
          <w:u w:val="single"/>
        </w:rPr>
        <w:t xml:space="preserve">         </w:t>
      </w:r>
      <w:r>
        <w:rPr>
          <w:sz w:val="21"/>
        </w:rPr>
        <w:t>主要病害：</w:t>
      </w:r>
      <w:r>
        <w:rPr>
          <w:rFonts w:hint="eastAsia"/>
          <w:sz w:val="21"/>
          <w:u w:val="single"/>
        </w:rPr>
        <w:t xml:space="preserve">                          </w:t>
      </w:r>
    </w:p>
    <w:p>
      <w:pPr>
        <w:spacing w:line="400" w:lineRule="exact"/>
        <w:jc w:val="left"/>
        <w:rPr>
          <w:sz w:val="21"/>
        </w:rPr>
      </w:pPr>
      <w:r>
        <w:rPr>
          <w:sz w:val="21"/>
        </w:rPr>
        <w:t>桥梁分类：</w:t>
      </w:r>
      <w:r>
        <w:rPr>
          <w:sz w:val="21"/>
          <w:u w:val="single"/>
        </w:rPr>
        <w:t xml:space="preserve">         </w:t>
      </w:r>
      <w:r>
        <w:rPr>
          <w:rFonts w:hint="eastAsia"/>
          <w:sz w:val="21"/>
          <w:u w:val="single"/>
        </w:rPr>
        <w:t xml:space="preserve"> </w:t>
      </w:r>
      <w:r>
        <w:rPr>
          <w:sz w:val="21"/>
        </w:rPr>
        <w:t>全长和净宽：</w:t>
      </w:r>
      <w:r>
        <w:rPr>
          <w:sz w:val="21"/>
          <w:u w:val="single"/>
        </w:rPr>
        <w:t xml:space="preserve">          </w:t>
      </w:r>
      <w:r>
        <w:rPr>
          <w:sz w:val="21"/>
        </w:rPr>
        <w:t>主桥主跨和主桥孔数：</w:t>
      </w:r>
      <w:r>
        <w:rPr>
          <w:rFonts w:hint="eastAsia"/>
          <w:sz w:val="21"/>
          <w:u w:val="single"/>
        </w:rPr>
        <w:t xml:space="preserve">             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95"/>
        <w:gridCol w:w="2070"/>
        <w:gridCol w:w="221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序号</w:t>
            </w:r>
          </w:p>
        </w:tc>
        <w:tc>
          <w:tcPr>
            <w:tcW w:w="1695" w:type="dxa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部件名称</w:t>
            </w:r>
          </w:p>
        </w:tc>
        <w:tc>
          <w:tcPr>
            <w:tcW w:w="2070" w:type="dxa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缺损类型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缺损范围</w:t>
            </w:r>
          </w:p>
        </w:tc>
        <w:tc>
          <w:tcPr>
            <w:tcW w:w="1705" w:type="dxa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保养措施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锥坡护坡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杂物；2、裂纹；3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塌陷；4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桥台及基础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渗水；2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泛碱；3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杂草；4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裂纹；5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塌陷；6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桥墩及基础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渗水；2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泛碱；3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杂草；4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裂纹；5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塌陷；6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桥与路连接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高差较大；2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伸缩缝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堵塞；2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桥面铺装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裂纹（A横向，B纵向，C网状）；2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坑槽；3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泛油；4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拥包；5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波浪；6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松散；7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栏杆护栏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缺损；2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塌陷；3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标志标线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缺失；2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磨损；3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排水设施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堵塞；2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过高；3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桥面清洁</w:t>
            </w:r>
          </w:p>
        </w:tc>
        <w:tc>
          <w:tcPr>
            <w:tcW w:w="2070" w:type="dxa"/>
          </w:tcPr>
          <w:p>
            <w:pPr>
              <w:spacing w:line="3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垃圾杂物；2</w:t>
            </w:r>
            <w:r>
              <w:rPr>
                <w:rFonts w:hint="eastAsia"/>
                <w:sz w:val="21"/>
              </w:rPr>
              <w:t>.</w:t>
            </w:r>
            <w:r>
              <w:rPr>
                <w:sz w:val="21"/>
              </w:rPr>
              <w:t>油污；3</w:t>
            </w:r>
            <w:r>
              <w:rPr>
                <w:rFonts w:hint="eastAsia"/>
                <w:sz w:val="21"/>
              </w:rPr>
              <w:t>.</w:t>
            </w: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2070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2215" w:type="dxa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  <w:r>
              <w:rPr>
                <w:sz w:val="21"/>
              </w:rPr>
              <w:t>地基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河道、照明等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整体评价</w:t>
            </w:r>
          </w:p>
        </w:tc>
        <w:tc>
          <w:tcPr>
            <w:tcW w:w="4285" w:type="dxa"/>
            <w:gridSpan w:val="2"/>
          </w:tcPr>
          <w:p>
            <w:pPr>
              <w:spacing w:line="320" w:lineRule="exact"/>
              <w:jc w:val="left"/>
              <w:rPr>
                <w:sz w:val="21"/>
              </w:rPr>
            </w:pPr>
          </w:p>
        </w:tc>
        <w:tc>
          <w:tcPr>
            <w:tcW w:w="1705" w:type="dxa"/>
          </w:tcPr>
          <w:p>
            <w:pPr>
              <w:spacing w:line="320" w:lineRule="exact"/>
              <w:jc w:val="left"/>
              <w:rPr>
                <w:sz w:val="21"/>
              </w:rPr>
            </w:pPr>
            <w:r>
              <w:rPr>
                <w:sz w:val="21"/>
              </w:rPr>
              <w:t>说明：可填写需要加大检查频次、建议立即进行小修、设立禁行限行标志等意见。无特殊情况的不需填写。</w:t>
            </w:r>
          </w:p>
        </w:tc>
      </w:tr>
    </w:tbl>
    <w:p>
      <w:pPr>
        <w:spacing w:line="400" w:lineRule="exact"/>
        <w:jc w:val="left"/>
        <w:rPr>
          <w:sz w:val="28"/>
          <w:szCs w:val="28"/>
        </w:rPr>
      </w:pPr>
      <w:r>
        <w:rPr>
          <w:sz w:val="28"/>
          <w:szCs w:val="28"/>
        </w:rPr>
        <w:t>检查人签名：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         时间：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</w:t>
      </w:r>
    </w:p>
    <w:p>
      <w:pPr>
        <w:spacing w:line="400" w:lineRule="exact"/>
      </w:pPr>
    </w:p>
    <w:p>
      <w:pPr>
        <w:spacing w:line="578" w:lineRule="exact"/>
        <w:ind w:firstLine="4814" w:firstLineChars="1450"/>
        <w:rPr>
          <w:rFonts w:hint="eastAsia" w:ascii="仿宋_GB2312" w:hAnsi="仿宋_GB2312" w:eastAsia="仿宋_GB2312" w:cs="仿宋_GB2312"/>
          <w:snapToGrid w:val="0"/>
          <w:spacing w:val="8"/>
          <w:kern w:val="0"/>
          <w:szCs w:val="32"/>
        </w:rPr>
      </w:pPr>
    </w:p>
    <w:p>
      <w:pPr>
        <w:spacing w:line="578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3ABA"/>
    <w:multiLevelType w:val="singleLevel"/>
    <w:tmpl w:val="2A473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94117E"/>
    <w:multiLevelType w:val="singleLevel"/>
    <w:tmpl w:val="3C941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2577B4"/>
    <w:multiLevelType w:val="singleLevel"/>
    <w:tmpl w:val="57257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67D5D5"/>
    <w:multiLevelType w:val="singleLevel"/>
    <w:tmpl w:val="6B67D5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79D56C1"/>
    <w:rsid w:val="1AF21A10"/>
    <w:rsid w:val="1F991545"/>
    <w:rsid w:val="2309100C"/>
    <w:rsid w:val="2DB17CA6"/>
    <w:rsid w:val="2E902745"/>
    <w:rsid w:val="32CF66AB"/>
    <w:rsid w:val="383F3D81"/>
    <w:rsid w:val="3B8233A0"/>
    <w:rsid w:val="3F1D523A"/>
    <w:rsid w:val="40F23AF0"/>
    <w:rsid w:val="42C4057F"/>
    <w:rsid w:val="4D045415"/>
    <w:rsid w:val="4F7C65F9"/>
    <w:rsid w:val="575B04CA"/>
    <w:rsid w:val="5F8A53D2"/>
    <w:rsid w:val="6E3C3D48"/>
    <w:rsid w:val="77522A76"/>
    <w:rsid w:val="7AA3233F"/>
    <w:rsid w:val="7C317C4B"/>
    <w:rsid w:val="7C8758FA"/>
    <w:rsid w:val="7CA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0</TotalTime>
  <ScaleCrop>false</ScaleCrop>
  <LinksUpToDate>false</LinksUpToDate>
  <CharactersWithSpaces>5116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2019-07-14T06:41:00Z</dcterms:created>
  <dc:creator>Administrator</dc:creator>
  <cp:lastModifiedBy>Administrator</cp:lastModifiedBy>
  <dcterms:modified xsi:type="dcterms:W3CDTF">2020-11-24T03:49:33Z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