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jc w:val="center"/>
        <w:textAlignment w:val="auto"/>
        <w:rPr>
          <w:rFonts w:ascii="方正小标宋简体" w:eastAsia="方正小标宋简体"/>
          <w:color w:val="FF0000"/>
          <w:spacing w:val="20"/>
          <w:w w:val="90"/>
          <w:sz w:val="96"/>
          <w:szCs w:val="96"/>
        </w:rPr>
      </w:pPr>
      <w:bookmarkStart w:id="0" w:name="_GoBack"/>
      <w:bookmarkEnd w:id="0"/>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24</w:t>
      </w:r>
      <w:r>
        <w:rPr>
          <w:rFonts w:hint="eastAsia" w:ascii="仿宋_GB2312"/>
          <w:color w:val="000000"/>
          <w:szCs w:val="32"/>
        </w:rPr>
        <w:t>〕</w:t>
      </w:r>
      <w:r>
        <w:rPr>
          <w:rFonts w:hint="eastAsia"/>
          <w:color w:val="000000"/>
          <w:spacing w:val="8"/>
          <w:szCs w:val="32"/>
          <w:lang w:val="en-US" w:eastAsia="zh-CN"/>
        </w:rPr>
        <w:t>2</w:t>
      </w:r>
      <w:r>
        <w:rPr>
          <w:rFonts w:hint="eastAsia" w:ascii="仿宋_GB2312"/>
          <w:color w:val="000000"/>
          <w:szCs w:val="32"/>
        </w:rPr>
        <w:t>号</w:t>
      </w:r>
    </w:p>
    <w:p>
      <w:pPr>
        <w:spacing w:line="800" w:lineRule="exact"/>
        <w:jc w:val="center"/>
        <w:rPr>
          <w:snapToGrid w:val="0"/>
          <w:kern w:val="0"/>
          <w:szCs w:val="32"/>
        </w:rPr>
      </w:pPr>
    </w:p>
    <w:p>
      <w:pPr>
        <w:spacing w:line="578" w:lineRule="exact"/>
        <w:jc w:val="center"/>
        <w:rPr>
          <w:rFonts w:hint="eastAsia"/>
          <w:lang w:val="en-US" w:eastAsia="zh-CN"/>
        </w:rPr>
      </w:pPr>
      <w:r>
        <w:rPr>
          <w:rFonts w:hint="eastAsia" w:eastAsia="方正小标宋简体"/>
          <w:bCs/>
          <w:spacing w:val="8"/>
          <w:sz w:val="44"/>
          <w:szCs w:val="44"/>
          <w:lang w:val="en-US" w:eastAsia="zh-CN"/>
        </w:rPr>
        <w:t>鱼峰区人民政府</w:t>
      </w:r>
    </w:p>
    <w:p>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关于印发《鱼峰区农村集体经营性建设用地</w:t>
      </w:r>
    </w:p>
    <w:p>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入市土地增值收益调节金征收和使用</w:t>
      </w:r>
    </w:p>
    <w:p>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管理办法（试行）》的通知</w:t>
      </w:r>
    </w:p>
    <w:p>
      <w:pPr>
        <w:pStyle w:val="7"/>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lang w:val="en-US" w:eastAsia="zh-CN"/>
        </w:rPr>
        <w:t>《鱼峰区农村集体经营性建设用地入市土地增值收益调节金征收和使用管理办法（试行）》已经区人民政府同意，现印发给你们，请认真贯彻落实。</w:t>
      </w:r>
    </w:p>
    <w:p>
      <w:pPr>
        <w:spacing w:line="578" w:lineRule="exact"/>
        <w:jc w:val="left"/>
        <w:rPr>
          <w:rFonts w:hint="eastAsia" w:eastAsia="仿宋_GB2312"/>
          <w:snapToGrid w:val="0"/>
          <w:spacing w:val="8"/>
          <w:kern w:val="0"/>
          <w:szCs w:val="32"/>
          <w:lang w:eastAsia="zh-CN"/>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1</w:t>
      </w:r>
      <w:r>
        <w:rPr>
          <w:rFonts w:hint="eastAsia"/>
          <w:snapToGrid w:val="0"/>
          <w:spacing w:val="8"/>
          <w:kern w:val="0"/>
          <w:szCs w:val="32"/>
        </w:rPr>
        <w:t>月</w:t>
      </w:r>
      <w:r>
        <w:rPr>
          <w:rFonts w:hint="eastAsia"/>
          <w:color w:val="000000"/>
          <w:spacing w:val="8"/>
          <w:szCs w:val="32"/>
          <w:lang w:val="en-US" w:eastAsia="zh-CN"/>
        </w:rPr>
        <w:t>17</w:t>
      </w:r>
      <w:r>
        <w:rPr>
          <w:rFonts w:hint="eastAsia"/>
          <w:snapToGrid w:val="0"/>
          <w:spacing w:val="8"/>
          <w:kern w:val="0"/>
          <w:szCs w:val="32"/>
        </w:rPr>
        <w:t>日</w:t>
      </w: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ind w:firstLine="664" w:firstLineChars="200"/>
        <w:rPr>
          <w:rFonts w:hint="eastAsia" w:ascii="黑体" w:eastAsia="黑体"/>
          <w:spacing w:val="8"/>
          <w:kern w:val="0"/>
          <w:szCs w:val="32"/>
        </w:rPr>
      </w:pPr>
    </w:p>
    <w:p>
      <w:pPr>
        <w:pStyle w:val="4"/>
        <w:rPr>
          <w:rFonts w:hint="eastAsia"/>
        </w:rPr>
      </w:pPr>
    </w:p>
    <w:p>
      <w:pPr>
        <w:spacing w:line="578" w:lineRule="exact"/>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332" w:firstLineChars="1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17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6350" r="0" b="635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U8g5B2gAAAA4BAAAPAAAAAAAAAAEAIAAAACIAAABkcnMvZG93bnJldi54bWxQSwEC&#10;FAAUAAAACACHTuJAl2frJvIBAAD1AwAADgAAAAAAAAABACAAAAApAQAAZHJzL2Uyb0RvYy54bWxQ&#10;SwUGAAAAAAYABgBZAQAAjQ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6350" r="0" b="635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a:effectLst/>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nJKM2gAAAA4BAAAPAAAAAAAAAAEAIAAAACIAAABkcnMvZG93bnJldi54bWxQSwEC&#10;FAAUAAAACACHTuJAc25HEfIBAAD1AwAADgAAAAAAAAABACAAAAApAQAAZHJzL2Uyb0RvYy54bWxQ&#10;SwUGAAAAAAYABgBZAQAAjQU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鱼峰区农村集体经营性建设用地入市土地</w:t>
      </w:r>
    </w:p>
    <w:p>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lang w:eastAsia="zh-CN" w:bidi="ar"/>
        </w:rPr>
      </w:pPr>
      <w:r>
        <w:rPr>
          <w:rFonts w:hint="eastAsia" w:ascii="方正小标宋简体" w:hAnsi="方正小标宋简体" w:eastAsia="方正小标宋简体" w:cs="方正小标宋简体"/>
          <w:color w:val="000000"/>
          <w:sz w:val="44"/>
          <w:szCs w:val="44"/>
          <w:lang w:eastAsia="zh-CN" w:bidi="ar"/>
        </w:rPr>
        <w:t>增值收益调节金征收和使用管理办法（试行）</w:t>
      </w:r>
    </w:p>
    <w:p>
      <w:pPr>
        <w:spacing w:line="578" w:lineRule="exact"/>
        <w:jc w:val="both"/>
        <w:rPr>
          <w:rFonts w:eastAsia="黑体"/>
          <w:bCs/>
          <w:sz w:val="32"/>
          <w:szCs w:val="32"/>
        </w:rPr>
      </w:pP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80" w:lineRule="exact"/>
        <w:ind w:left="0" w:right="0" w:firstLine="632" w:firstLineChars="200"/>
        <w:jc w:val="center"/>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第一章 总则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pacing w:val="6"/>
          <w:sz w:val="32"/>
          <w:szCs w:val="32"/>
          <w:highlight w:val="none"/>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为规范我区农村集体经营性建设用地入市土地增值收益调节金征收和使用管理，建立兼顾国家、集体和个人的农村集体经营性建设用地入市收益分配机制，保障农村集体经济组织及集体经</w:t>
      </w:r>
      <w:r>
        <w:rPr>
          <w:rFonts w:hint="default" w:ascii="Times New Roman" w:hAnsi="Times New Roman" w:eastAsia="仿宋_GB2312" w:cs="Times New Roman"/>
          <w:sz w:val="32"/>
          <w:szCs w:val="32"/>
          <w:highlight w:val="none"/>
        </w:rPr>
        <w:t>济组织成员合法权益，根据</w:t>
      </w:r>
      <w:r>
        <w:rPr>
          <w:rFonts w:hint="default" w:ascii="Times New Roman" w:hAnsi="Times New Roman" w:eastAsia="仿宋_GB2312" w:cs="Times New Roman"/>
          <w:color w:val="auto"/>
          <w:sz w:val="32"/>
          <w:szCs w:val="32"/>
          <w:highlight w:val="none"/>
          <w:lang w:val="en-US" w:eastAsia="zh-CN"/>
        </w:rPr>
        <w:t>《财政部 国土资源部关于印发〈农村集体经营性建设用地土地增值收益调节金征收使用管理暂行办法〉的通知》（财税〔</w:t>
      </w:r>
      <w:r>
        <w:rPr>
          <w:rFonts w:hint="default" w:ascii="Times New Roman" w:hAnsi="Times New Roman" w:eastAsia="仿宋_GB2312" w:cs="Times New Roman"/>
          <w:sz w:val="32"/>
          <w:szCs w:val="32"/>
          <w:highlight w:val="none"/>
          <w:lang w:val="en-US" w:eastAsia="zh-CN"/>
        </w:rPr>
        <w:t>2016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41</w:t>
      </w:r>
      <w:r>
        <w:rPr>
          <w:rFonts w:hint="default" w:ascii="Times New Roman" w:hAnsi="Times New Roman" w:eastAsia="仿宋_GB2312" w:cs="Times New Roman"/>
          <w:color w:val="auto"/>
          <w:sz w:val="32"/>
          <w:szCs w:val="32"/>
          <w:highlight w:val="none"/>
          <w:lang w:val="en-US" w:eastAsia="zh-CN"/>
        </w:rPr>
        <w:t>号）《财政部 自然资源部关于延续实施农村集体经营性建设用地土地增值收益调节金政策的通知》（财税〔</w:t>
      </w:r>
      <w:r>
        <w:rPr>
          <w:rFonts w:hint="default"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号）《柳州市人民政府关于印发〈柳州市先行推进农村集体经营性建设用地入市管理暂行办法〉的通知》</w:t>
      </w:r>
      <w:r>
        <w:rPr>
          <w:rFonts w:hint="default" w:ascii="Times New Roman" w:hAnsi="Times New Roman" w:eastAsia="仿宋_GB2312" w:cs="Times New Roman"/>
          <w:color w:val="auto"/>
          <w:spacing w:val="6"/>
          <w:sz w:val="32"/>
          <w:szCs w:val="32"/>
          <w:highlight w:val="none"/>
          <w:lang w:val="en-US" w:eastAsia="zh-CN"/>
        </w:rPr>
        <w:t>（柳政规〔</w:t>
      </w:r>
      <w:r>
        <w:rPr>
          <w:rFonts w:hint="default" w:ascii="Times New Roman" w:hAnsi="Times New Roman" w:eastAsia="仿宋_GB2312" w:cs="Times New Roman"/>
          <w:spacing w:val="6"/>
          <w:sz w:val="32"/>
          <w:szCs w:val="32"/>
          <w:highlight w:val="none"/>
          <w:lang w:val="en-US" w:eastAsia="zh-CN"/>
        </w:rPr>
        <w:t>2022</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spacing w:val="6"/>
          <w:sz w:val="32"/>
          <w:szCs w:val="32"/>
          <w:highlight w:val="none"/>
          <w:lang w:val="en-US" w:eastAsia="zh-CN"/>
        </w:rPr>
        <w:t>18</w:t>
      </w:r>
      <w:r>
        <w:rPr>
          <w:rFonts w:hint="default" w:ascii="Times New Roman" w:hAnsi="Times New Roman" w:eastAsia="仿宋_GB2312" w:cs="Times New Roman"/>
          <w:color w:val="auto"/>
          <w:spacing w:val="6"/>
          <w:sz w:val="32"/>
          <w:szCs w:val="32"/>
          <w:highlight w:val="none"/>
          <w:lang w:val="en-US" w:eastAsia="zh-CN"/>
        </w:rPr>
        <w:t>号）有</w:t>
      </w:r>
      <w:r>
        <w:rPr>
          <w:rFonts w:hint="default" w:ascii="Times New Roman" w:hAnsi="Times New Roman" w:eastAsia="仿宋_GB2312" w:cs="Times New Roman"/>
          <w:color w:val="auto"/>
          <w:spacing w:val="6"/>
          <w:sz w:val="32"/>
          <w:szCs w:val="32"/>
          <w:highlight w:val="none"/>
        </w:rPr>
        <w:t>关规</w:t>
      </w:r>
      <w:r>
        <w:rPr>
          <w:rFonts w:hint="default" w:ascii="Times New Roman" w:hAnsi="Times New Roman" w:eastAsia="仿宋_GB2312" w:cs="Times New Roman"/>
          <w:color w:val="auto"/>
          <w:spacing w:val="6"/>
          <w:sz w:val="32"/>
          <w:szCs w:val="32"/>
        </w:rPr>
        <w:t>定</w:t>
      </w:r>
      <w:r>
        <w:rPr>
          <w:rFonts w:hint="default" w:ascii="Times New Roman" w:hAnsi="Times New Roman" w:eastAsia="仿宋_GB2312" w:cs="Times New Roman"/>
          <w:spacing w:val="6"/>
          <w:sz w:val="32"/>
          <w:szCs w:val="32"/>
          <w:highlight w:val="none"/>
        </w:rPr>
        <w:t>，结合鱼峰区实际，制定本办法。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楷体" w:cs="Times New Roman"/>
          <w:b/>
          <w:bCs/>
          <w:sz w:val="32"/>
          <w:szCs w:val="32"/>
          <w:highlight w:val="none"/>
        </w:rPr>
      </w:pPr>
      <w:r>
        <w:rPr>
          <w:rFonts w:hint="default" w:ascii="Times New Roman" w:hAnsi="Times New Roman" w:eastAsia="仿宋_GB2312" w:cs="Times New Roman"/>
          <w:b/>
          <w:bCs/>
          <w:sz w:val="32"/>
          <w:szCs w:val="32"/>
          <w:highlight w:val="none"/>
        </w:rPr>
        <w:t>第二条</w:t>
      </w:r>
      <w:r>
        <w:rPr>
          <w:rFonts w:hint="default" w:ascii="Times New Roman" w:hAnsi="Times New Roman" w:eastAsia="仿宋_GB2312" w:cs="Times New Roman"/>
          <w:sz w:val="32"/>
          <w:szCs w:val="32"/>
          <w:highlight w:val="none"/>
        </w:rPr>
        <w:t xml:space="preserve"> 鱼峰区</w:t>
      </w:r>
      <w:r>
        <w:rPr>
          <w:rFonts w:hint="default" w:ascii="Times New Roman" w:hAnsi="Times New Roman" w:eastAsia="仿宋_GB2312" w:cs="Times New Roman"/>
          <w:sz w:val="32"/>
          <w:szCs w:val="32"/>
          <w:highlight w:val="none"/>
          <w:lang w:val="en-US" w:eastAsia="zh-CN"/>
        </w:rPr>
        <w:t>行政</w:t>
      </w:r>
      <w:r>
        <w:rPr>
          <w:rFonts w:hint="default" w:ascii="Times New Roman" w:hAnsi="Times New Roman" w:eastAsia="仿宋_GB2312" w:cs="Times New Roman"/>
          <w:sz w:val="32"/>
          <w:szCs w:val="32"/>
          <w:highlight w:val="none"/>
        </w:rPr>
        <w:t>辖区范围内</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不含柳东新区、阳和工业新区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农村集体经营性建设用地入市、再转让环节征收的</w:t>
      </w:r>
      <w:r>
        <w:rPr>
          <w:rFonts w:hint="default" w:ascii="Times New Roman" w:hAnsi="Times New Roman" w:eastAsia="仿宋_GB2312" w:cs="Times New Roman"/>
          <w:sz w:val="32"/>
          <w:szCs w:val="32"/>
          <w:highlight w:val="none"/>
          <w:lang w:val="en-US" w:eastAsia="zh-CN"/>
        </w:rPr>
        <w:t>土地增值收益</w:t>
      </w:r>
      <w:r>
        <w:rPr>
          <w:rFonts w:hint="default" w:ascii="Times New Roman" w:hAnsi="Times New Roman" w:eastAsia="仿宋_GB2312" w:cs="Times New Roman"/>
          <w:sz w:val="32"/>
          <w:szCs w:val="32"/>
          <w:highlight w:val="none"/>
        </w:rPr>
        <w:t>调节金</w:t>
      </w:r>
      <w:r>
        <w:rPr>
          <w:rFonts w:hint="default" w:ascii="Times New Roman" w:hAnsi="Times New Roman" w:eastAsia="仿宋_GB2312" w:cs="Times New Roman"/>
          <w:sz w:val="32"/>
          <w:szCs w:val="32"/>
        </w:rPr>
        <w:t>（以下简称调节金）</w:t>
      </w:r>
      <w:r>
        <w:rPr>
          <w:rFonts w:hint="default" w:ascii="Times New Roman" w:hAnsi="Times New Roman" w:eastAsia="仿宋_GB2312" w:cs="Times New Roman"/>
          <w:sz w:val="32"/>
          <w:szCs w:val="32"/>
          <w:highlight w:val="none"/>
        </w:rPr>
        <w:t>管理，适用本办法。</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rPr>
        <w:t>第三条</w:t>
      </w:r>
      <w:r>
        <w:rPr>
          <w:rFonts w:hint="default" w:ascii="Times New Roman" w:hAnsi="Times New Roman" w:eastAsia="仿宋_GB2312" w:cs="Times New Roman"/>
          <w:sz w:val="32"/>
          <w:szCs w:val="32"/>
          <w:highlight w:val="none"/>
        </w:rPr>
        <w:t xml:space="preserve"> 本办法所称调节金，是按照建立同权同价、流转顺畅、收益共享的农村集体经营性建设用地入市制度的目标，在农村集体经营性建设用地入市及再转让环节，</w:t>
      </w:r>
      <w:r>
        <w:rPr>
          <w:rFonts w:hint="default" w:ascii="Times New Roman" w:hAnsi="Times New Roman" w:eastAsia="仿宋_GB2312" w:cs="Times New Roman"/>
          <w:strike w:val="0"/>
          <w:dstrike w:val="0"/>
          <w:sz w:val="32"/>
          <w:szCs w:val="32"/>
          <w:highlight w:val="none"/>
        </w:rPr>
        <w:t>对土地增值收益</w:t>
      </w:r>
      <w:r>
        <w:rPr>
          <w:rFonts w:hint="default" w:ascii="Times New Roman" w:hAnsi="Times New Roman" w:eastAsia="仿宋_GB2312" w:cs="Times New Roman"/>
          <w:sz w:val="32"/>
          <w:szCs w:val="32"/>
          <w:highlight w:val="none"/>
        </w:rPr>
        <w:t>收取的资金</w:t>
      </w:r>
      <w:r>
        <w:rPr>
          <w:rFonts w:hint="default" w:ascii="Times New Roman" w:hAnsi="Times New Roman"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 xml:space="preserve">第二章 </w:t>
      </w:r>
      <w:r>
        <w:rPr>
          <w:rFonts w:hint="default" w:ascii="Times New Roman" w:hAnsi="Times New Roman" w:eastAsia="黑体" w:cs="Times New Roman"/>
          <w:sz w:val="32"/>
          <w:szCs w:val="32"/>
          <w:highlight w:val="none"/>
          <w:lang w:val="en-US" w:eastAsia="zh-CN"/>
        </w:rPr>
        <w:t>调节金</w:t>
      </w:r>
      <w:r>
        <w:rPr>
          <w:rFonts w:hint="default" w:ascii="Times New Roman" w:hAnsi="Times New Roman" w:eastAsia="黑体" w:cs="Times New Roman"/>
          <w:sz w:val="32"/>
          <w:szCs w:val="32"/>
          <w:highlight w:val="none"/>
        </w:rPr>
        <w:t>征收</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第四条</w:t>
      </w:r>
      <w:r>
        <w:rPr>
          <w:rFonts w:hint="default" w:ascii="Times New Roman" w:hAnsi="Times New Roman" w:eastAsia="仿宋_GB2312" w:cs="Times New Roman"/>
          <w:sz w:val="32"/>
          <w:szCs w:val="32"/>
          <w:highlight w:val="none"/>
        </w:rPr>
        <w:t xml:space="preserve"> 调节金由区财政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会同区自然资源</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负责组织征收。</w:t>
      </w:r>
    </w:p>
    <w:p>
      <w:pPr>
        <w:pStyle w:val="2"/>
        <w:keepNext w:val="0"/>
        <w:keepLines w:val="0"/>
        <w:pageBreakBefore w:val="0"/>
        <w:widowControl w:val="0"/>
        <w:kinsoku/>
        <w:wordWrap/>
        <w:overflowPunct/>
        <w:topLinePunct w:val="0"/>
        <w:autoSpaceDE/>
        <w:autoSpaceDN/>
        <w:bidi w:val="0"/>
        <w:adjustRightInd/>
        <w:snapToGrid w:val="0"/>
        <w:spacing w:line="578" w:lineRule="exact"/>
        <w:ind w:firstLine="63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kern w:val="2"/>
          <w:sz w:val="32"/>
          <w:szCs w:val="32"/>
          <w:highlight w:val="none"/>
          <w:lang w:val="en-US" w:eastAsia="zh-CN" w:bidi="ar-SA"/>
        </w:rPr>
        <w:t>第五条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农村集体经济组织通过出让、出租等方式取得农村集体经营性建设用地入市收益，以及入市后的农村集体经营性建设用地土地使用权人，以出售、交换、赠与、出租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作价出资（入股）</w:t>
      </w:r>
      <w:r>
        <w:rPr>
          <w:rFonts w:hint="default" w:ascii="Times New Roman" w:hAnsi="Times New Roman" w:eastAsia="仿宋_GB2312" w:cs="Times New Roman"/>
          <w:sz w:val="32"/>
          <w:szCs w:val="32"/>
          <w:highlight w:val="none"/>
        </w:rPr>
        <w:t>或其他视同转让等方式取得再转让收益时，应</w:t>
      </w:r>
      <w:r>
        <w:rPr>
          <w:rFonts w:hint="default" w:ascii="Times New Roman" w:hAnsi="Times New Roman" w:eastAsia="仿宋_GB2312" w:cs="Times New Roman"/>
          <w:sz w:val="32"/>
          <w:szCs w:val="32"/>
          <w:highlight w:val="none"/>
          <w:lang w:val="en-US" w:eastAsia="zh-CN"/>
        </w:rPr>
        <w:t>向国家</w:t>
      </w:r>
      <w:r>
        <w:rPr>
          <w:rFonts w:hint="default" w:ascii="Times New Roman" w:hAnsi="Times New Roman" w:eastAsia="仿宋_GB2312" w:cs="Times New Roman"/>
          <w:sz w:val="32"/>
          <w:szCs w:val="32"/>
          <w:highlight w:val="none"/>
        </w:rPr>
        <w:t>缴纳调节金。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农村集体经济组织将集体经营性建设用地使用权出让、出租的，</w:t>
      </w:r>
      <w:r>
        <w:rPr>
          <w:rFonts w:hint="default" w:ascii="Times New Roman" w:hAnsi="Times New Roman" w:eastAsia="仿宋_GB2312" w:cs="Times New Roman"/>
          <w:color w:val="auto"/>
          <w:sz w:val="32"/>
          <w:szCs w:val="32"/>
          <w:lang w:val="en-US" w:eastAsia="zh-CN"/>
        </w:rPr>
        <w:t>根据土地用途、集体建设用地基准地价级别，</w:t>
      </w:r>
      <w:r>
        <w:rPr>
          <w:rFonts w:hint="default" w:ascii="Times New Roman" w:hAnsi="Times New Roman" w:eastAsia="仿宋_GB2312" w:cs="Times New Roman"/>
          <w:color w:val="auto"/>
          <w:sz w:val="32"/>
          <w:szCs w:val="32"/>
          <w:highlight w:val="none"/>
        </w:rPr>
        <w:t>调节金按以下标准</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楷体_GB2312" w:cs="Times New Roman"/>
          <w:b/>
          <w:bCs/>
          <w:color w:val="000000"/>
          <w:kern w:val="2"/>
          <w:sz w:val="32"/>
          <w:szCs w:val="32"/>
          <w:lang w:val="en-US" w:eastAsia="zh-CN" w:bidi="ar"/>
        </w:rPr>
        <w:t>（一）</w:t>
      </w:r>
      <w:r>
        <w:rPr>
          <w:rFonts w:hint="default" w:ascii="Times New Roman" w:hAnsi="Times New Roman" w:eastAsia="仿宋_GB2312" w:cs="Times New Roman"/>
          <w:color w:val="auto"/>
          <w:sz w:val="32"/>
          <w:szCs w:val="32"/>
          <w:highlight w:val="none"/>
        </w:rPr>
        <w:t>入市用途为商服用地，</w:t>
      </w:r>
      <w:r>
        <w:rPr>
          <w:rFonts w:hint="default" w:ascii="Times New Roman" w:hAnsi="Times New Roman" w:eastAsia="仿宋_GB2312" w:cs="Times New Roman"/>
          <w:color w:val="auto"/>
          <w:sz w:val="32"/>
          <w:szCs w:val="32"/>
          <w:highlight w:val="none"/>
          <w:lang w:val="en-US" w:eastAsia="zh-CN"/>
        </w:rPr>
        <w:t>在柳州市本级城市市区以内（中心城区）的，土地定级为Ⅰ、Ⅱ级的按宗地成交总价的</w:t>
      </w:r>
      <w:r>
        <w:rPr>
          <w:rFonts w:hint="default" w:ascii="Times New Roman" w:hAnsi="Times New Roman" w:eastAsia="仿宋_GB2312" w:cs="Times New Roman"/>
          <w:sz w:val="32"/>
          <w:szCs w:val="32"/>
          <w:highlight w:val="none"/>
          <w:lang w:val="en-US" w:eastAsia="zh-CN"/>
        </w:rPr>
        <w:t>40%</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lang w:val="en-US" w:eastAsia="zh-CN"/>
        </w:rPr>
        <w:t>调节金，土地定级为Ⅲ级的按宗地成交总价的</w:t>
      </w:r>
      <w:r>
        <w:rPr>
          <w:rFonts w:hint="default" w:ascii="Times New Roman" w:hAnsi="Times New Roman" w:eastAsia="仿宋_GB2312" w:cs="Times New Roman"/>
          <w:sz w:val="32"/>
          <w:szCs w:val="32"/>
          <w:highlight w:val="none"/>
          <w:lang w:val="en-US" w:eastAsia="zh-CN"/>
        </w:rPr>
        <w:t>35%</w:t>
      </w:r>
      <w:r>
        <w:rPr>
          <w:rFonts w:hint="default" w:ascii="Times New Roman" w:hAnsi="Times New Roman" w:eastAsia="仿宋_GB2312" w:cs="Times New Roman"/>
          <w:color w:val="auto"/>
          <w:sz w:val="32"/>
          <w:szCs w:val="32"/>
          <w:highlight w:val="none"/>
          <w:lang w:val="en-US" w:eastAsia="zh-CN"/>
        </w:rPr>
        <w:t>计提调节金，土地定级为Ⅳ级的按宗地成交总价的</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计提调节金，土地定级为Ⅴ、Ⅵ级的按宗地成交总价的</w:t>
      </w:r>
      <w:r>
        <w:rPr>
          <w:rFonts w:hint="default"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lang w:val="en-US" w:eastAsia="zh-CN"/>
        </w:rPr>
        <w:t>调节金；在柳州市本级城市市区以内（乡镇中心）的，按宗地成交总价的</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lang w:val="en-US" w:eastAsia="zh-CN"/>
        </w:rPr>
        <w:t>调节金；在柳州市本级城市市区以外的，按宗地成交总价的</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lang w:val="en-US" w:eastAsia="zh-CN"/>
        </w:rPr>
        <w:t>调节金。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000000"/>
          <w:kern w:val="2"/>
          <w:sz w:val="32"/>
          <w:szCs w:val="32"/>
          <w:lang w:val="en-US" w:eastAsia="zh-CN" w:bidi="ar"/>
        </w:rPr>
        <w:t>（二）</w:t>
      </w:r>
      <w:r>
        <w:rPr>
          <w:rFonts w:hint="default" w:ascii="Times New Roman" w:hAnsi="Times New Roman" w:eastAsia="仿宋_GB2312" w:cs="Times New Roman"/>
          <w:color w:val="auto"/>
          <w:sz w:val="32"/>
          <w:szCs w:val="32"/>
          <w:highlight w:val="none"/>
        </w:rPr>
        <w:t>入市用途为工矿仓储用地的，按</w:t>
      </w:r>
      <w:r>
        <w:rPr>
          <w:rFonts w:hint="default" w:ascii="Times New Roman" w:hAnsi="Times New Roman" w:eastAsia="仿宋_GB2312" w:cs="Times New Roman"/>
          <w:color w:val="auto"/>
          <w:sz w:val="32"/>
          <w:szCs w:val="32"/>
          <w:highlight w:val="none"/>
          <w:lang w:val="en-US" w:eastAsia="zh-CN"/>
        </w:rPr>
        <w:t>宗地成交总价</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rPr>
        <w:t>调节金。</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highlight w:val="none"/>
        </w:rPr>
      </w:pPr>
      <w:r>
        <w:rPr>
          <w:rFonts w:hint="default" w:ascii="Times New Roman" w:hAnsi="Times New Roman" w:eastAsia="楷体_GB2312" w:cs="Times New Roman"/>
          <w:b/>
          <w:bCs/>
          <w:color w:val="000000"/>
          <w:kern w:val="2"/>
          <w:sz w:val="32"/>
          <w:szCs w:val="32"/>
          <w:lang w:val="en-US" w:eastAsia="zh-CN" w:bidi="ar"/>
        </w:rPr>
        <w:t>（三）</w:t>
      </w:r>
      <w:r>
        <w:rPr>
          <w:rFonts w:hint="default" w:ascii="Times New Roman" w:hAnsi="Times New Roman" w:eastAsia="仿宋_GB2312" w:cs="Times New Roman"/>
          <w:color w:val="auto"/>
          <w:sz w:val="32"/>
          <w:szCs w:val="32"/>
          <w:highlight w:val="none"/>
        </w:rPr>
        <w:t>入市用途</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其他经营性用地</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，按</w:t>
      </w:r>
      <w:r>
        <w:rPr>
          <w:rFonts w:hint="default" w:ascii="Times New Roman" w:hAnsi="Times New Roman" w:eastAsia="仿宋_GB2312" w:cs="Times New Roman"/>
          <w:color w:val="auto"/>
          <w:sz w:val="32"/>
          <w:szCs w:val="32"/>
          <w:highlight w:val="none"/>
          <w:lang w:val="en-US" w:eastAsia="zh-CN"/>
        </w:rPr>
        <w:t>宗地成交总价</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trike w:val="0"/>
          <w:dstrike w:val="0"/>
          <w:color w:val="auto"/>
          <w:sz w:val="32"/>
          <w:szCs w:val="32"/>
          <w:highlight w:val="none"/>
          <w:lang w:val="en-US" w:eastAsia="zh-CN"/>
        </w:rPr>
        <w:t>计提</w:t>
      </w:r>
      <w:r>
        <w:rPr>
          <w:rFonts w:hint="default" w:ascii="Times New Roman" w:hAnsi="Times New Roman" w:eastAsia="仿宋_GB2312" w:cs="Times New Roman"/>
          <w:color w:val="auto"/>
          <w:sz w:val="32"/>
          <w:szCs w:val="32"/>
          <w:highlight w:val="none"/>
        </w:rPr>
        <w:t>调节金。</w:t>
      </w:r>
    </w:p>
    <w:p>
      <w:pPr>
        <w:pStyle w:val="9"/>
        <w:keepNext w:val="0"/>
        <w:keepLines w:val="0"/>
        <w:pageBreakBefore w:val="0"/>
        <w:widowControl w:val="0"/>
        <w:kinsoku/>
        <w:wordWrap/>
        <w:overflowPunct/>
        <w:topLinePunct w:val="0"/>
        <w:autoSpaceDE/>
        <w:autoSpaceDN/>
        <w:bidi w:val="0"/>
        <w:adjustRightInd/>
        <w:snapToGrid/>
        <w:spacing w:before="0" w:after="0" w:line="578" w:lineRule="exact"/>
        <w:ind w:firstLine="632" w:firstLineChars="200"/>
        <w:jc w:val="left"/>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第七条</w:t>
      </w:r>
      <w:r>
        <w:rPr>
          <w:rFonts w:hint="default" w:ascii="Times New Roman" w:hAnsi="Times New Roman" w:eastAsia="仿宋_GB2312" w:cs="Times New Roman"/>
          <w:b/>
          <w:bCs w:val="0"/>
          <w:color w:val="auto"/>
          <w:sz w:val="32"/>
          <w:szCs w:val="32"/>
          <w:highlight w:val="none"/>
          <w:lang w:val="en-US" w:eastAsia="zh-CN"/>
        </w:rPr>
        <w:t xml:space="preserve"> </w:t>
      </w:r>
      <w:r>
        <w:rPr>
          <w:rFonts w:hint="default" w:ascii="Times New Roman" w:hAnsi="Times New Roman" w:eastAsia="仿宋_GB2312" w:cs="Times New Roman"/>
          <w:b w:val="0"/>
          <w:bCs/>
          <w:sz w:val="32"/>
          <w:szCs w:val="32"/>
          <w:highlight w:val="none"/>
          <w:lang w:val="en-US" w:eastAsia="zh-CN"/>
        </w:rPr>
        <w:t>土地取得成本及开发支出包括：</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bCs/>
          <w:color w:val="000000"/>
          <w:kern w:val="2"/>
          <w:sz w:val="32"/>
          <w:szCs w:val="32"/>
          <w:lang w:val="en-US" w:eastAsia="zh-CN" w:bidi="ar"/>
        </w:rPr>
        <w:t>（一）</w:t>
      </w:r>
      <w:r>
        <w:rPr>
          <w:rFonts w:hint="default" w:ascii="Times New Roman" w:hAnsi="Times New Roman" w:eastAsia="仿宋_GB2312" w:cs="Times New Roman"/>
          <w:b w:val="0"/>
          <w:bCs/>
          <w:sz w:val="32"/>
          <w:szCs w:val="32"/>
          <w:highlight w:val="none"/>
          <w:lang w:val="en-US" w:eastAsia="zh-CN"/>
        </w:rPr>
        <w:t>集体土地承包经营权收回补偿费用。该费用不高于集体土地征收的土地补偿费。</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bCs/>
          <w:color w:val="000000"/>
          <w:kern w:val="2"/>
          <w:sz w:val="32"/>
          <w:szCs w:val="32"/>
          <w:lang w:val="en-US" w:eastAsia="zh-CN" w:bidi="ar"/>
        </w:rPr>
        <w:t>（二）</w:t>
      </w:r>
      <w:r>
        <w:rPr>
          <w:rFonts w:hint="default" w:ascii="Times New Roman" w:hAnsi="Times New Roman" w:eastAsia="仿宋_GB2312" w:cs="Times New Roman"/>
          <w:b w:val="0"/>
          <w:bCs/>
          <w:sz w:val="32"/>
          <w:szCs w:val="32"/>
          <w:highlight w:val="none"/>
          <w:lang w:val="en-US" w:eastAsia="zh-CN"/>
        </w:rPr>
        <w:t>青苗、地上附着物补偿费</w:t>
      </w:r>
      <w:r>
        <w:rPr>
          <w:rFonts w:hint="default" w:ascii="Times New Roman" w:hAnsi="Times New Roman" w:eastAsia="仿宋_GB2312" w:cs="Times New Roman"/>
          <w:b w:val="0"/>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bCs/>
          <w:color w:val="000000"/>
          <w:kern w:val="2"/>
          <w:sz w:val="32"/>
          <w:szCs w:val="32"/>
          <w:lang w:val="en-US" w:eastAsia="zh-CN" w:bidi="ar"/>
        </w:rPr>
        <w:t>（三）</w:t>
      </w:r>
      <w:r>
        <w:rPr>
          <w:rFonts w:hint="default" w:ascii="Times New Roman" w:hAnsi="Times New Roman" w:eastAsia="仿宋_GB2312" w:cs="Times New Roman"/>
          <w:b w:val="0"/>
          <w:bCs/>
          <w:kern w:val="2"/>
          <w:sz w:val="32"/>
          <w:szCs w:val="32"/>
          <w:highlight w:val="none"/>
          <w:lang w:val="en-US" w:eastAsia="zh-CN" w:bidi="ar-SA"/>
        </w:rPr>
        <w:t>拟入市地块通水、通电、通路、土地平整等基础设施建设费用。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b w:val="0"/>
          <w:bCs/>
          <w:kern w:val="2"/>
          <w:sz w:val="32"/>
          <w:szCs w:val="32"/>
          <w:highlight w:val="none"/>
          <w:lang w:val="en-US" w:eastAsia="zh-CN" w:bidi="ar-SA"/>
        </w:rPr>
      </w:pPr>
      <w:r>
        <w:rPr>
          <w:rFonts w:hint="default" w:ascii="Times New Roman" w:hAnsi="Times New Roman" w:eastAsia="楷体_GB2312" w:cs="Times New Roman"/>
          <w:b/>
          <w:bCs/>
          <w:color w:val="000000"/>
          <w:kern w:val="2"/>
          <w:sz w:val="32"/>
          <w:szCs w:val="32"/>
          <w:lang w:val="en-US" w:eastAsia="zh-CN" w:bidi="ar"/>
        </w:rPr>
        <w:t>（四）</w:t>
      </w:r>
      <w:r>
        <w:rPr>
          <w:rFonts w:hint="default" w:ascii="Times New Roman" w:hAnsi="Times New Roman" w:eastAsia="仿宋_GB2312" w:cs="Times New Roman"/>
          <w:b w:val="0"/>
          <w:bCs/>
          <w:kern w:val="2"/>
          <w:sz w:val="32"/>
          <w:szCs w:val="32"/>
          <w:highlight w:val="none"/>
          <w:lang w:val="en-US" w:eastAsia="zh-CN" w:bidi="ar-SA"/>
        </w:rPr>
        <w:t>土地勘测定界、权籍调查、地价评估、方案编制、市场交易服务费等中间服务费用。</w:t>
      </w:r>
    </w:p>
    <w:p>
      <w:pPr>
        <w:pStyle w:val="2"/>
        <w:keepNext w:val="0"/>
        <w:keepLines w:val="0"/>
        <w:pageBreakBefore w:val="0"/>
        <w:widowControl w:val="0"/>
        <w:kinsoku/>
        <w:wordWrap/>
        <w:overflowPunct/>
        <w:topLinePunct w:val="0"/>
        <w:autoSpaceDE/>
        <w:autoSpaceDN/>
        <w:bidi w:val="0"/>
        <w:adjustRightInd/>
        <w:snapToGrid w:val="0"/>
        <w:spacing w:line="578" w:lineRule="exact"/>
        <w:ind w:firstLine="632"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color w:val="000000"/>
          <w:kern w:val="2"/>
          <w:sz w:val="32"/>
          <w:szCs w:val="32"/>
          <w:lang w:val="en-US" w:eastAsia="zh-CN" w:bidi="ar"/>
        </w:rPr>
        <w:t>（五）</w:t>
      </w:r>
      <w:r>
        <w:rPr>
          <w:rFonts w:hint="default" w:ascii="Times New Roman" w:hAnsi="Times New Roman" w:eastAsia="仿宋_GB2312" w:cs="Times New Roman"/>
          <w:b w:val="0"/>
          <w:bCs/>
          <w:kern w:val="2"/>
          <w:sz w:val="32"/>
          <w:szCs w:val="32"/>
          <w:highlight w:val="none"/>
          <w:lang w:val="en-US" w:eastAsia="zh-CN" w:bidi="ar-SA"/>
        </w:rPr>
        <w:t>办理</w:t>
      </w:r>
      <w:r>
        <w:rPr>
          <w:rFonts w:hint="default" w:ascii="Times New Roman" w:hAnsi="Times New Roman" w:eastAsia="仿宋_GB2312" w:cs="Times New Roman"/>
          <w:sz w:val="32"/>
          <w:szCs w:val="32"/>
        </w:rPr>
        <w:t>农用地转用报批</w:t>
      </w:r>
      <w:r>
        <w:rPr>
          <w:rFonts w:hint="default" w:ascii="Times New Roman" w:hAnsi="Times New Roman" w:eastAsia="仿宋_GB2312" w:cs="Times New Roman"/>
          <w:b w:val="0"/>
          <w:bCs/>
          <w:kern w:val="2"/>
          <w:sz w:val="32"/>
          <w:szCs w:val="32"/>
          <w:highlight w:val="none"/>
          <w:lang w:val="en-US" w:eastAsia="zh-CN" w:bidi="ar-SA"/>
        </w:rPr>
        <w:t>时产生的</w:t>
      </w:r>
      <w:r>
        <w:rPr>
          <w:rFonts w:hint="default" w:ascii="Times New Roman" w:hAnsi="Times New Roman" w:eastAsia="仿宋_GB2312" w:cs="Times New Roman"/>
          <w:color w:val="auto"/>
          <w:sz w:val="32"/>
          <w:szCs w:val="32"/>
          <w:highlight w:val="none"/>
        </w:rPr>
        <w:t>新增建设用地土地有偿使用费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耕地占补费用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耕地开垦费等。</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受让人应按合同约定将土地成交价</w:t>
      </w:r>
      <w:r>
        <w:rPr>
          <w:rFonts w:hint="default" w:ascii="Times New Roman" w:hAnsi="Times New Roman" w:eastAsia="仿宋_GB2312" w:cs="Times New Roman"/>
          <w:sz w:val="32"/>
          <w:szCs w:val="32"/>
          <w:highlight w:val="none"/>
        </w:rPr>
        <w:t>款缴入区财政账户，</w:t>
      </w:r>
      <w:r>
        <w:rPr>
          <w:rFonts w:hint="default" w:ascii="Times New Roman" w:hAnsi="Times New Roman" w:eastAsia="仿宋_GB2312" w:cs="Times New Roman"/>
          <w:color w:val="auto"/>
          <w:sz w:val="32"/>
          <w:szCs w:val="32"/>
          <w:highlight w:val="none"/>
          <w:lang w:val="en-US" w:eastAsia="zh-CN"/>
        </w:rPr>
        <w:t>待成交价款全部缴纳完毕后，</w:t>
      </w:r>
      <w:r>
        <w:rPr>
          <w:rFonts w:hint="default" w:ascii="Times New Roman" w:hAnsi="Times New Roman" w:eastAsia="仿宋_GB2312" w:cs="Times New Roman"/>
          <w:color w:val="auto"/>
          <w:sz w:val="32"/>
          <w:szCs w:val="32"/>
          <w:lang w:val="en-US" w:eastAsia="zh-CN"/>
        </w:rPr>
        <w:t>区财政局会同区自然资源局根据合同和交易信息，按不同的用途不同的比例核定调节金应缴金额并进行征缴工作。</w:t>
      </w:r>
      <w:r>
        <w:rPr>
          <w:rFonts w:hint="default" w:ascii="Times New Roman" w:hAnsi="Times New Roman" w:eastAsia="仿宋_GB2312" w:cs="Times New Roman"/>
          <w:sz w:val="32"/>
          <w:szCs w:val="32"/>
          <w:highlight w:val="none"/>
        </w:rPr>
        <w:t>区财政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将扣除调节金后的土地价款</w:t>
      </w:r>
      <w:r>
        <w:rPr>
          <w:rFonts w:hint="default" w:ascii="Times New Roman" w:hAnsi="Times New Roman" w:eastAsia="仿宋_GB2312" w:cs="Times New Roman"/>
          <w:sz w:val="32"/>
          <w:szCs w:val="32"/>
          <w:highlight w:val="none"/>
          <w:lang w:val="en-US" w:eastAsia="zh-CN"/>
        </w:rPr>
        <w:t>返还</w:t>
      </w:r>
      <w:r>
        <w:rPr>
          <w:rFonts w:hint="default" w:ascii="Times New Roman" w:hAnsi="Times New Roman" w:eastAsia="仿宋_GB2312" w:cs="Times New Roman"/>
          <w:sz w:val="32"/>
          <w:szCs w:val="32"/>
          <w:highlight w:val="none"/>
        </w:rPr>
        <w:t>至</w:t>
      </w:r>
      <w:r>
        <w:rPr>
          <w:rFonts w:hint="default" w:ascii="Times New Roman" w:hAnsi="Times New Roman" w:eastAsia="仿宋_GB2312" w:cs="Times New Roman"/>
          <w:sz w:val="32"/>
          <w:szCs w:val="32"/>
          <w:highlight w:val="none"/>
          <w:lang w:val="en-US" w:eastAsia="zh-CN"/>
        </w:rPr>
        <w:t>入市土地所属</w:t>
      </w:r>
      <w:r>
        <w:rPr>
          <w:rFonts w:hint="default" w:ascii="Times New Roman" w:hAnsi="Times New Roman" w:eastAsia="仿宋_GB2312" w:cs="Times New Roman"/>
          <w:sz w:val="32"/>
          <w:szCs w:val="32"/>
          <w:highlight w:val="none"/>
        </w:rPr>
        <w:t>农村集体经济组织账户。</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w:t>
      </w:r>
      <w:r>
        <w:rPr>
          <w:rFonts w:hint="default" w:ascii="Times New Roman" w:hAnsi="Times New Roman" w:eastAsia="仿宋_GB2312" w:cs="Times New Roman"/>
          <w:b/>
          <w:bCs/>
          <w:sz w:val="32"/>
          <w:szCs w:val="32"/>
          <w:highlight w:val="none"/>
          <w:lang w:val="en-US" w:eastAsia="zh-CN"/>
        </w:rPr>
        <w:t>九</w:t>
      </w:r>
      <w:r>
        <w:rPr>
          <w:rFonts w:hint="default" w:ascii="Times New Roman" w:hAnsi="Times New Roman" w:eastAsia="仿宋_GB2312" w:cs="Times New Roman"/>
          <w:b/>
          <w:bCs/>
          <w:sz w:val="32"/>
          <w:szCs w:val="32"/>
          <w:highlight w:val="none"/>
        </w:rPr>
        <w:t>条</w:t>
      </w:r>
      <w:r>
        <w:rPr>
          <w:rFonts w:hint="default" w:ascii="Times New Roman" w:hAnsi="Times New Roman" w:eastAsia="楷体" w:cs="Times New Roman"/>
          <w:b/>
          <w:bCs/>
          <w:sz w:val="32"/>
          <w:szCs w:val="32"/>
          <w:highlight w:val="none"/>
        </w:rPr>
        <w:t xml:space="preserve"> </w:t>
      </w:r>
      <w:r>
        <w:rPr>
          <w:rFonts w:hint="default" w:ascii="Times New Roman" w:hAnsi="Times New Roman" w:eastAsia="仿宋_GB2312" w:cs="Times New Roman"/>
          <w:sz w:val="32"/>
          <w:szCs w:val="32"/>
          <w:highlight w:val="none"/>
          <w:lang w:val="en-US" w:eastAsia="zh-CN"/>
        </w:rPr>
        <w:t>调节金缴纳义务人足额缴纳调节金后，区财政局应向其</w:t>
      </w:r>
      <w:r>
        <w:rPr>
          <w:rFonts w:hint="default" w:ascii="Times New Roman" w:hAnsi="Times New Roman" w:eastAsia="仿宋_GB2312" w:cs="Times New Roman"/>
          <w:sz w:val="32"/>
          <w:szCs w:val="32"/>
          <w:highlight w:val="none"/>
        </w:rPr>
        <w:t>出具调节金缴纳凭证。</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第十条</w:t>
      </w:r>
      <w:r>
        <w:rPr>
          <w:rFonts w:hint="default" w:ascii="Times New Roman" w:hAnsi="Times New Roman" w:eastAsia="仿宋_GB2312" w:cs="Times New Roman"/>
          <w:sz w:val="32"/>
          <w:szCs w:val="32"/>
          <w:highlight w:val="none"/>
        </w:rPr>
        <w:t xml:space="preserve"> 农村集体经营性建设用地使用权交易方按合同支付</w:t>
      </w:r>
      <w:r>
        <w:rPr>
          <w:rFonts w:hint="default" w:ascii="Times New Roman" w:hAnsi="Times New Roman" w:eastAsia="仿宋_GB2312" w:cs="Times New Roman"/>
          <w:sz w:val="32"/>
          <w:szCs w:val="32"/>
          <w:highlight w:val="none"/>
          <w:lang w:val="en-US" w:eastAsia="zh-CN"/>
        </w:rPr>
        <w:t>土地成交</w:t>
      </w:r>
      <w:r>
        <w:rPr>
          <w:rFonts w:hint="default" w:ascii="Times New Roman" w:hAnsi="Times New Roman" w:eastAsia="仿宋_GB2312" w:cs="Times New Roman"/>
          <w:sz w:val="32"/>
          <w:szCs w:val="32"/>
          <w:highlight w:val="none"/>
        </w:rPr>
        <w:t>价款及税费、调节金后，按规定办理不动产登记手续。</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highlight w:val="none"/>
        </w:rPr>
        <w:t>调节金缴纳凭证是农村集体经营性建设用地入市和再转让办理不动产登记手续的要件。</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第三章 使用管理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w:t>
      </w:r>
      <w:r>
        <w:rPr>
          <w:rFonts w:hint="default"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调</w:t>
      </w:r>
      <w:r>
        <w:rPr>
          <w:rFonts w:hint="default" w:ascii="Times New Roman" w:hAnsi="Times New Roman" w:eastAsia="仿宋_GB2312" w:cs="Times New Roman"/>
          <w:color w:val="auto"/>
          <w:sz w:val="32"/>
          <w:szCs w:val="32"/>
          <w:highlight w:val="none"/>
        </w:rPr>
        <w:t>节金按照非税收入</w:t>
      </w:r>
      <w:r>
        <w:rPr>
          <w:rFonts w:hint="default" w:ascii="Times New Roman" w:hAnsi="Times New Roman" w:eastAsia="仿宋_GB2312" w:cs="Times New Roman"/>
          <w:sz w:val="32"/>
          <w:szCs w:val="32"/>
          <w:highlight w:val="none"/>
        </w:rPr>
        <w:t>收缴管理，资金全额上缴地方国库，纳入一般公共预算管理，由区财政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统筹安排使用。</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第十</w:t>
      </w:r>
      <w:r>
        <w:rPr>
          <w:rFonts w:hint="default"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调节金主要统筹用于城镇和农村基础设施建设、农村环境整治、生态补偿、土地复垦、失地农民保障以及对农村经济困难群众的社保补助和特困救助等。</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highlight w:val="none"/>
        </w:rPr>
        <w:t>第十</w:t>
      </w:r>
      <w:r>
        <w:rPr>
          <w:rFonts w:hint="default" w:ascii="Times New Roman" w:hAnsi="Times New Roman"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rPr>
        <w:t>条</w:t>
      </w:r>
      <w:r>
        <w:rPr>
          <w:rFonts w:hint="default" w:ascii="Times New Roman" w:hAnsi="Times New Roman" w:eastAsia="仿宋_GB2312" w:cs="Times New Roman"/>
          <w:sz w:val="32"/>
          <w:szCs w:val="32"/>
          <w:highlight w:val="none"/>
        </w:rPr>
        <w:t xml:space="preserve"> 区财政</w:t>
      </w:r>
      <w:r>
        <w:rPr>
          <w:rFonts w:hint="default" w:ascii="Times New Roman" w:hAnsi="Times New Roman" w:eastAsia="仿宋_GB2312" w:cs="Times New Roman"/>
          <w:sz w:val="32"/>
          <w:szCs w:val="32"/>
          <w:highlight w:val="none"/>
          <w:lang w:val="en-US" w:eastAsia="zh-CN"/>
        </w:rPr>
        <w:t>局</w:t>
      </w:r>
      <w:r>
        <w:rPr>
          <w:rFonts w:hint="default" w:ascii="Times New Roman" w:hAnsi="Times New Roman" w:eastAsia="仿宋_GB2312" w:cs="Times New Roman"/>
          <w:sz w:val="32"/>
          <w:szCs w:val="32"/>
          <w:highlight w:val="none"/>
        </w:rPr>
        <w:t>要会同入市试点工作领导小组相关成员单位根据各自职责做好调节金的管理和使用，确保资金使用符合规定用途和预算管理要求。</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 法律责任</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2"/>
          <w:sz w:val="32"/>
          <w:szCs w:val="32"/>
          <w:lang w:val="en-US" w:eastAsia="zh-CN" w:bidi="ar"/>
        </w:rPr>
        <w:t>（一）</w:t>
      </w:r>
      <w:r>
        <w:rPr>
          <w:rFonts w:hint="default" w:ascii="Times New Roman" w:hAnsi="Times New Roman" w:eastAsia="仿宋_GB2312" w:cs="Times New Roman"/>
          <w:sz w:val="32"/>
          <w:szCs w:val="32"/>
        </w:rPr>
        <w:t>擅自减免调节金或者改变调节金征收范围、对象和标准的；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2"/>
          <w:sz w:val="32"/>
          <w:szCs w:val="32"/>
          <w:lang w:val="en-US" w:eastAsia="zh-CN" w:bidi="ar"/>
        </w:rPr>
        <w:t>（二）</w:t>
      </w:r>
      <w:r>
        <w:rPr>
          <w:rFonts w:hint="default" w:ascii="Times New Roman" w:hAnsi="Times New Roman" w:eastAsia="仿宋_GB2312" w:cs="Times New Roman"/>
          <w:sz w:val="32"/>
          <w:szCs w:val="32"/>
        </w:rPr>
        <w:t>隐瞒、坐支应当上缴的调节金的；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2"/>
          <w:sz w:val="32"/>
          <w:szCs w:val="32"/>
          <w:lang w:val="en-US" w:eastAsia="zh-CN" w:bidi="ar"/>
        </w:rPr>
        <w:t>（三）</w:t>
      </w:r>
      <w:r>
        <w:rPr>
          <w:rFonts w:hint="default" w:ascii="Times New Roman" w:hAnsi="Times New Roman" w:eastAsia="仿宋_GB2312" w:cs="Times New Roman"/>
          <w:sz w:val="32"/>
          <w:szCs w:val="32"/>
        </w:rPr>
        <w:t>滞留、截留、挪用应当上缴的调节金的；</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b/>
          <w:bCs/>
          <w:color w:val="000000"/>
          <w:spacing w:val="6"/>
          <w:kern w:val="2"/>
          <w:sz w:val="32"/>
          <w:szCs w:val="32"/>
          <w:lang w:val="en-US" w:eastAsia="zh-CN" w:bidi="ar"/>
        </w:rPr>
        <w:t>（四）</w:t>
      </w:r>
      <w:r>
        <w:rPr>
          <w:rFonts w:hint="default" w:ascii="Times New Roman" w:hAnsi="Times New Roman" w:eastAsia="仿宋_GB2312" w:cs="Times New Roman"/>
          <w:spacing w:val="6"/>
          <w:sz w:val="32"/>
          <w:szCs w:val="32"/>
        </w:rPr>
        <w:t>不按照规定的预算级次、预算科目将调节金缴入国库的；</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2"/>
          <w:sz w:val="32"/>
          <w:szCs w:val="32"/>
          <w:lang w:val="en-US" w:eastAsia="zh-CN" w:bidi="ar"/>
        </w:rPr>
        <w:t>（五）</w:t>
      </w:r>
      <w:r>
        <w:rPr>
          <w:rFonts w:hint="default" w:ascii="Times New Roman" w:hAnsi="Times New Roman" w:eastAsia="仿宋_GB2312" w:cs="Times New Roman"/>
          <w:sz w:val="32"/>
          <w:szCs w:val="32"/>
        </w:rPr>
        <w:t>其他违反国家财政收入管理规定的行为。</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黑体" w:cs="Times New Roman"/>
          <w:spacing w:val="6"/>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调节金征收、使用管理有关部门的工作人员违反本办法规定，在调节金征收和使用管理工作中徇私舞弊、玩忽职</w:t>
      </w:r>
      <w:r>
        <w:rPr>
          <w:rFonts w:hint="default" w:ascii="Times New Roman" w:hAnsi="Times New Roman" w:eastAsia="仿宋_GB2312" w:cs="Times New Roman"/>
          <w:spacing w:val="6"/>
          <w:sz w:val="32"/>
          <w:szCs w:val="32"/>
        </w:rPr>
        <w:t>守、滥用职权的，依法给予处分；涉嫌犯罪的，依法移送司法机关。</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楷体" w:cs="Times New Roman"/>
          <w:b/>
          <w:bCs/>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章 附则</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本办法由区财政</w:t>
      </w:r>
      <w:r>
        <w:rPr>
          <w:rFonts w:hint="default" w:ascii="Times New Roman" w:hAnsi="Times New Roman" w:eastAsia="仿宋_GB2312" w:cs="Times New Roman"/>
          <w:sz w:val="32"/>
          <w:szCs w:val="32"/>
          <w:lang w:val="en-US" w:eastAsia="zh-CN"/>
        </w:rPr>
        <w:t>局会同</w:t>
      </w:r>
      <w:r>
        <w:rPr>
          <w:rFonts w:hint="default" w:ascii="Times New Roman" w:hAnsi="Times New Roman" w:eastAsia="仿宋_GB2312" w:cs="Times New Roman"/>
          <w:sz w:val="32"/>
          <w:szCs w:val="32"/>
        </w:rPr>
        <w:t>区自然资源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本办法自</w:t>
      </w:r>
      <w:r>
        <w:rPr>
          <w:rFonts w:hint="default" w:ascii="Times New Roman" w:hAnsi="Times New Roman" w:eastAsia="仿宋_GB2312" w:cs="Times New Roman"/>
          <w:color w:val="auto"/>
          <w:sz w:val="32"/>
          <w:szCs w:val="32"/>
          <w:lang w:val="en-US" w:eastAsia="zh-CN"/>
        </w:rPr>
        <w:t>自</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cs="Times New Roman"/>
          <w:sz w:val="32"/>
          <w:szCs w:val="32"/>
          <w:lang w:val="en-US" w:eastAsia="zh-CN"/>
        </w:rPr>
        <w:t>17</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color w:val="auto"/>
          <w:sz w:val="32"/>
          <w:szCs w:val="32"/>
          <w:lang w:eastAsia="zh-CN"/>
        </w:rPr>
        <w:t>起</w:t>
      </w:r>
      <w:r>
        <w:rPr>
          <w:rFonts w:hint="default" w:ascii="Times New Roman" w:hAnsi="Times New Roman" w:eastAsia="仿宋_GB2312" w:cs="Times New Roman"/>
          <w:color w:val="auto"/>
          <w:sz w:val="32"/>
          <w:szCs w:val="32"/>
          <w:lang w:val="en-US" w:eastAsia="zh-CN"/>
        </w:rPr>
        <w:t>施行,有效期至</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cs="Times New Roman"/>
          <w:sz w:val="32"/>
          <w:szCs w:val="32"/>
          <w:lang w:val="en-US" w:eastAsia="zh-CN"/>
        </w:rPr>
        <w:t>16</w:t>
      </w:r>
      <w:r>
        <w:rPr>
          <w:rFonts w:hint="default" w:ascii="Times New Roman" w:hAnsi="Times New Roman" w:eastAsia="仿宋_GB2312" w:cs="Times New Roman"/>
          <w:color w:val="auto"/>
          <w:sz w:val="32"/>
          <w:szCs w:val="32"/>
          <w:lang w:val="en-US" w:eastAsia="zh-CN"/>
        </w:rPr>
        <w:t>日。</w:t>
      </w:r>
    </w:p>
    <w:p>
      <w:pPr>
        <w:wordWrap w:val="0"/>
        <w:spacing w:line="240" w:lineRule="exact"/>
        <w:rPr>
          <w:rFonts w:hint="default" w:ascii="Times New Roman" w:hAnsi="Times New Roman" w:cs="Times New Roman"/>
          <w:sz w:val="21"/>
          <w:szCs w:val="21"/>
        </w:rPr>
      </w:pPr>
    </w:p>
    <w:sectPr>
      <w:headerReference r:id="rId9" w:type="default"/>
      <w:footerReference r:id="rId11" w:type="default"/>
      <w:headerReference r:id="rId10" w:type="even"/>
      <w:footerReference r:id="rId12" w:type="even"/>
      <w:pgSz w:w="11906" w:h="16838"/>
      <w:pgMar w:top="2098" w:right="1474" w:bottom="1984" w:left="1587" w:header="851" w:footer="992"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MacuIBAADNAwAADgAAAGRycy9lMm9Eb2MueG1srVPNjtMwEL4j8Q6W&#10;7zTZI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J4oSlGz//+H7++fv86xt7&#10;nvTpA1RUdhuoEIfXfqCtmeNAwUR7aKNNfyLEKE9Qp4u6akAm06HVcrUqKSUpNzuEX9wfDxHwrfKW&#10;JaPmka4vqyqO7wHH0rkkdXP+RhuTr9C4vwKEOUZU3oHpdGIyTpwsHHbDRG/nmxOxo1dBXTsfv3LW&#10;007U3NET4My8cyQ5TY6zEWdjNxvCSTpYc+RsNN/guGaHEPW+y4uXRoTw6oA0d6aTxhh7kwzJoVvO&#10;gkwbmdboTz9X3b/Cz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KMacuIBAADNAwAADgAA&#10;AAAAAAABACAAAAAeAQAAZHJzL2Uyb0RvYy54bWxQSwUGAAAAAAYABgBZAQAAcgUAAAAA&#10;">
              <v:fill on="f" focussize="0,0"/>
              <v:stroke on="f"/>
              <v:imagedata o:title=""/>
              <o:lock v:ext="edit" aspectratio="f"/>
              <v:textbox inset="0mm,0mm,0mm,0mm" style="mso-fit-shape-to-text:t;">
                <w:txbxContent>
                  <w:p>
                    <w:pPr>
                      <w:pStyle w:val="2"/>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Pv1m+7jAQAAzQMAAA4A&#10;AAAAAAAAAQAgAAAAHgEAAGRycy9lMm9Eb2MueG1sUEsFBgAAAAAGAAYAWQEAAHMFAAAAAA==&#10;">
              <v:fill on="f" focussize="0,0"/>
              <v:stroke on="f"/>
              <v:imagedata o:title=""/>
              <o:lock v:ext="edit" aspectratio="f"/>
              <v:textbox inset="0mm,0mm,0mm,0mm" style="mso-fit-shape-to-text:t;">
                <w:txbxContent>
                  <w:p>
                    <w:pPr>
                      <w:pStyle w:val="2"/>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180" w:firstLineChars="100"/>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2"/>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HorizontalSpacing w:val="158"/>
  <w:drawingGridVerticalSpacing w:val="290"/>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AF829F4"/>
    <w:rsid w:val="1E696C2A"/>
    <w:rsid w:val="1F991545"/>
    <w:rsid w:val="2309100C"/>
    <w:rsid w:val="2DB17CA6"/>
    <w:rsid w:val="3940249E"/>
    <w:rsid w:val="3B8233A0"/>
    <w:rsid w:val="3F1D523A"/>
    <w:rsid w:val="3F7B45BD"/>
    <w:rsid w:val="403B486A"/>
    <w:rsid w:val="40F23AF0"/>
    <w:rsid w:val="42C4057F"/>
    <w:rsid w:val="48E30FE7"/>
    <w:rsid w:val="4B9FF78D"/>
    <w:rsid w:val="4F7C65F9"/>
    <w:rsid w:val="54D43C39"/>
    <w:rsid w:val="575B04CA"/>
    <w:rsid w:val="5B5EF0FA"/>
    <w:rsid w:val="5F8A53D2"/>
    <w:rsid w:val="5FBFD982"/>
    <w:rsid w:val="604F00BB"/>
    <w:rsid w:val="61B4DEF5"/>
    <w:rsid w:val="6F67FB65"/>
    <w:rsid w:val="77FF77C0"/>
    <w:rsid w:val="7A77EA81"/>
    <w:rsid w:val="7AA3233F"/>
    <w:rsid w:val="7C8758FA"/>
    <w:rsid w:val="7DBD0CE2"/>
    <w:rsid w:val="7FDD5F3B"/>
    <w:rsid w:val="9CBDBA6E"/>
    <w:rsid w:val="AFF35DF6"/>
    <w:rsid w:val="E5DB3F80"/>
    <w:rsid w:val="EBDF7E4A"/>
    <w:rsid w:val="EFDD8E35"/>
    <w:rsid w:val="F3BAFE1D"/>
    <w:rsid w:val="F4FF57BA"/>
    <w:rsid w:val="F53F6681"/>
    <w:rsid w:val="F5B7BB97"/>
    <w:rsid w:val="FDFF9B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1"/>
    <w:pPr>
      <w:spacing w:before="56"/>
      <w:ind w:left="1465" w:right="703"/>
      <w:jc w:val="center"/>
      <w:outlineLvl w:val="1"/>
    </w:pPr>
    <w:rPr>
      <w:rFonts w:ascii="PMingLiU" w:hAnsi="PMingLiU" w:eastAsia="PMingLiU" w:cs="PMingLiU"/>
      <w:sz w:val="44"/>
      <w:szCs w:val="44"/>
      <w:lang w:val="en-US" w:eastAsia="zh-CN" w:bidi="ar-SA"/>
    </w:rPr>
  </w:style>
  <w:style w:type="paragraph" w:styleId="4">
    <w:name w:val="heading 3"/>
    <w:basedOn w:val="1"/>
    <w:next w:val="1"/>
    <w:qFormat/>
    <w:locked/>
    <w:uiPriority w:val="9"/>
    <w:pPr>
      <w:spacing w:before="100" w:beforeAutospacing="1" w:after="100"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jc w:val="left"/>
    </w:pPr>
    <w:rPr>
      <w:sz w:val="18"/>
      <w:szCs w:val="18"/>
    </w:rPr>
  </w:style>
  <w:style w:type="paragraph" w:styleId="5">
    <w:name w:val="Body Text"/>
    <w:basedOn w:val="1"/>
    <w:link w:val="14"/>
    <w:qFormat/>
    <w:uiPriority w:val="99"/>
    <w:rPr>
      <w:sz w:val="3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7"/>
    <w:qFormat/>
    <w:uiPriority w:val="99"/>
    <w:pPr>
      <w:spacing w:after="120" w:line="480" w:lineRule="auto"/>
    </w:pPr>
  </w:style>
  <w:style w:type="paragraph" w:styleId="8">
    <w:name w:val="Normal (Web)"/>
    <w:basedOn w:val="1"/>
    <w:qFormat/>
    <w:locked/>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styleId="9">
    <w:name w:val="Title"/>
    <w:basedOn w:val="1"/>
    <w:next w:val="1"/>
    <w:qFormat/>
    <w:locked/>
    <w:uiPriority w:val="0"/>
    <w:pPr>
      <w:spacing w:before="60" w:after="120" w:line="560" w:lineRule="exact"/>
      <w:jc w:val="center"/>
      <w:outlineLvl w:val="0"/>
    </w:pPr>
    <w:rPr>
      <w:rFonts w:eastAsia="Arial Unicode MS"/>
      <w:bCs/>
      <w:sz w:val="44"/>
    </w:rPr>
  </w:style>
  <w:style w:type="character" w:styleId="12">
    <w:name w:val="page number"/>
    <w:basedOn w:val="11"/>
    <w:qFormat/>
    <w:uiPriority w:val="99"/>
    <w:rPr>
      <w:rFonts w:cs="Times New Roman"/>
    </w:rPr>
  </w:style>
  <w:style w:type="paragraph" w:customStyle="1" w:styleId="13">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character" w:customStyle="1" w:styleId="14">
    <w:name w:val="正文文本 Char"/>
    <w:link w:val="5"/>
    <w:semiHidden/>
    <w:qFormat/>
    <w:uiPriority w:val="99"/>
    <w:rPr>
      <w:rFonts w:eastAsia="仿宋_GB2312"/>
      <w:sz w:val="32"/>
      <w:szCs w:val="24"/>
    </w:rPr>
  </w:style>
  <w:style w:type="character" w:customStyle="1" w:styleId="15">
    <w:name w:val="页脚 Char"/>
    <w:link w:val="2"/>
    <w:semiHidden/>
    <w:qFormat/>
    <w:uiPriority w:val="99"/>
    <w:rPr>
      <w:rFonts w:eastAsia="仿宋_GB2312"/>
      <w:sz w:val="18"/>
      <w:szCs w:val="18"/>
    </w:rPr>
  </w:style>
  <w:style w:type="character" w:customStyle="1" w:styleId="16">
    <w:name w:val="页眉 Char"/>
    <w:link w:val="6"/>
    <w:semiHidden/>
    <w:qFormat/>
    <w:uiPriority w:val="99"/>
    <w:rPr>
      <w:rFonts w:eastAsia="仿宋_GB2312"/>
      <w:sz w:val="18"/>
      <w:szCs w:val="18"/>
    </w:rPr>
  </w:style>
  <w:style w:type="character" w:customStyle="1" w:styleId="17">
    <w:name w:val="正文文本 2 Char"/>
    <w:link w:val="7"/>
    <w:semiHidden/>
    <w:qFormat/>
    <w:uiPriority w:val="99"/>
    <w:rPr>
      <w:rFonts w:eastAsia="仿宋_GB2312"/>
      <w:sz w:val="32"/>
      <w:szCs w:val="24"/>
    </w:rPr>
  </w:style>
  <w:style w:type="paragraph" w:customStyle="1" w:styleId="18">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9">
    <w:name w:val="15"/>
    <w:qFormat/>
    <w:uiPriority w:val="0"/>
    <w:rPr>
      <w:rFonts w:hint="default" w:ascii="Calibri" w:hAnsi="Calibri" w:cs="Calibri"/>
      <w:b/>
    </w:rPr>
  </w:style>
  <w:style w:type="paragraph" w:styleId="20">
    <w:name w:val="List Paragraph"/>
    <w:basedOn w:val="1"/>
    <w:qFormat/>
    <w:uiPriority w:val="1"/>
    <w:pPr>
      <w:ind w:left="106"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765</Words>
  <Characters>4361</Characters>
  <Lines>1</Lines>
  <Paragraphs>1</Paragraphs>
  <TotalTime>36</TotalTime>
  <ScaleCrop>false</ScaleCrop>
  <LinksUpToDate>false</LinksUpToDate>
  <CharactersWithSpaces>5116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2019-07-16T22:41:00Z</dcterms:created>
  <dc:creator>Administrator</dc:creator>
  <cp:lastModifiedBy>ちひろ</cp:lastModifiedBy>
  <cp:lastPrinted>2023-12-29T08:36:00Z</cp:lastPrinted>
  <dcterms:modified xsi:type="dcterms:W3CDTF">2024-02-19T02:02:12Z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19729BC712304D58A46AA5CE05FF2EA5_13</vt:lpwstr>
  </property>
</Properties>
</file>