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500" w:lineRule="exact"/>
        <w:ind w:left="0" w:right="0"/>
        <w:jc w:val="center"/>
        <w:textAlignment w:val="auto"/>
        <w:rPr>
          <w:rFonts w:hint="eastAsia" w:ascii="方正小标宋简体" w:hAnsi="方正小标宋简体" w:eastAsia="方正小标宋简体" w:cs="方正小标宋简体"/>
          <w:b w:val="0"/>
          <w:bCs/>
          <w:spacing w:val="-20"/>
          <w:sz w:val="44"/>
          <w:szCs w:val="44"/>
          <w:lang w:eastAsia="zh-CN"/>
        </w:rPr>
      </w:pPr>
      <w:r>
        <w:rPr>
          <w:rFonts w:hint="eastAsia" w:ascii="方正小标宋简体" w:hAnsi="方正小标宋简体" w:eastAsia="方正小标宋简体" w:cs="方正小标宋简体"/>
          <w:b w:val="0"/>
          <w:bCs/>
          <w:spacing w:val="-20"/>
          <w:sz w:val="44"/>
          <w:szCs w:val="44"/>
          <w:lang w:eastAsia="zh-CN"/>
        </w:rPr>
        <w:t>《</w:t>
      </w:r>
      <w:r>
        <w:rPr>
          <w:rFonts w:hint="eastAsia" w:ascii="方正小标宋简体" w:hAnsi="方正小标宋简体" w:eastAsia="方正小标宋简体" w:cs="方正小标宋简体"/>
          <w:b w:val="0"/>
          <w:bCs/>
          <w:spacing w:val="-20"/>
          <w:kern w:val="2"/>
          <w:sz w:val="44"/>
          <w:szCs w:val="44"/>
          <w:lang w:eastAsia="zh-CN"/>
        </w:rPr>
        <w:t>鱼峰区</w:t>
      </w:r>
      <w:r>
        <w:rPr>
          <w:rFonts w:hint="eastAsia" w:ascii="方正小标宋简体" w:hAnsi="方正小标宋简体" w:eastAsia="方正小标宋简体" w:cs="方正小标宋简体"/>
          <w:b w:val="0"/>
          <w:bCs/>
          <w:spacing w:val="-20"/>
          <w:kern w:val="2"/>
          <w:sz w:val="44"/>
          <w:szCs w:val="44"/>
        </w:rPr>
        <w:t>污染天气应急预案（2023 年修订）</w:t>
      </w:r>
      <w:r>
        <w:rPr>
          <w:rFonts w:hint="eastAsia" w:ascii="方正小标宋简体" w:hAnsi="方正小标宋简体" w:eastAsia="方正小标宋简体" w:cs="方正小标宋简体"/>
          <w:b w:val="0"/>
          <w:bCs/>
          <w:spacing w:val="-20"/>
          <w:sz w:val="44"/>
          <w:szCs w:val="44"/>
          <w:lang w:eastAsia="zh-CN"/>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jc w:val="center"/>
        <w:textAlignment w:val="auto"/>
        <w:rPr>
          <w:rFonts w:hint="eastAsia" w:ascii="方正小标宋简体" w:hAnsi="方正小标宋简体" w:eastAsia="方正小标宋简体" w:cs="方正小标宋简体"/>
          <w:b w:val="0"/>
          <w:bCs/>
          <w:spacing w:val="-20"/>
          <w:sz w:val="44"/>
          <w:szCs w:val="44"/>
        </w:rPr>
      </w:pPr>
      <w:r>
        <w:rPr>
          <w:rFonts w:hint="eastAsia" w:ascii="方正小标宋简体" w:hAnsi="方正小标宋简体" w:eastAsia="方正小标宋简体" w:cs="方正小标宋简体"/>
          <w:b w:val="0"/>
          <w:bCs/>
          <w:spacing w:val="-20"/>
          <w:sz w:val="44"/>
          <w:szCs w:val="44"/>
        </w:rPr>
        <w:t>政策解读</w:t>
      </w:r>
    </w:p>
    <w:p>
      <w:pPr>
        <w:spacing w:line="560" w:lineRule="exact"/>
        <w:ind w:left="0" w:leftChars="0" w:firstLine="0" w:firstLineChars="0"/>
        <w:rPr>
          <w:rFonts w:hint="eastAsia" w:ascii="黑体" w:hAnsi="黑体" w:eastAsia="黑体"/>
          <w:sz w:val="32"/>
          <w:szCs w:val="32"/>
        </w:rPr>
      </w:pPr>
    </w:p>
    <w:p>
      <w:pPr>
        <w:keepNext w:val="0"/>
        <w:keepLines w:val="0"/>
        <w:pageBreakBefore w:val="0"/>
        <w:kinsoku/>
        <w:wordWrap/>
        <w:overflowPunct/>
        <w:topLinePunct w:val="0"/>
        <w:bidi w:val="0"/>
        <w:adjustRightInd/>
        <w:snapToGrid/>
        <w:spacing w:line="520" w:lineRule="exact"/>
        <w:ind w:right="0" w:firstLine="640" w:firstLineChars="200"/>
        <w:textAlignment w:val="auto"/>
        <w:rPr>
          <w:rFonts w:hint="eastAsia" w:ascii="黑体" w:hAnsi="黑体" w:eastAsia="黑体"/>
          <w:spacing w:val="0"/>
          <w:w w:val="100"/>
          <w:sz w:val="32"/>
          <w:szCs w:val="32"/>
        </w:rPr>
      </w:pPr>
      <w:r>
        <w:rPr>
          <w:rFonts w:hint="eastAsia" w:ascii="黑体" w:hAnsi="黑体" w:eastAsia="黑体"/>
          <w:spacing w:val="0"/>
          <w:w w:val="100"/>
          <w:sz w:val="32"/>
          <w:szCs w:val="32"/>
        </w:rPr>
        <w:t>一、</w:t>
      </w:r>
      <w:r>
        <w:rPr>
          <w:rFonts w:hint="eastAsia" w:ascii="黑体" w:hAnsi="黑体" w:eastAsia="黑体"/>
          <w:spacing w:val="0"/>
          <w:w w:val="100"/>
          <w:sz w:val="32"/>
          <w:szCs w:val="32"/>
          <w:lang w:eastAsia="zh-CN"/>
        </w:rPr>
        <w:t>《鱼峰区</w:t>
      </w:r>
      <w:r>
        <w:rPr>
          <w:rFonts w:hint="eastAsia" w:ascii="黑体" w:hAnsi="黑体" w:eastAsia="黑体"/>
          <w:spacing w:val="0"/>
          <w:w w:val="100"/>
          <w:sz w:val="32"/>
          <w:szCs w:val="32"/>
        </w:rPr>
        <w:t>污染天气应急预案（2023 年修订）</w:t>
      </w:r>
      <w:r>
        <w:rPr>
          <w:rFonts w:hint="eastAsia" w:ascii="黑体" w:hAnsi="黑体" w:eastAsia="黑体"/>
          <w:spacing w:val="0"/>
          <w:w w:val="100"/>
          <w:sz w:val="32"/>
          <w:szCs w:val="32"/>
          <w:lang w:eastAsia="zh-CN"/>
        </w:rPr>
        <w:t>》</w:t>
      </w:r>
      <w:r>
        <w:rPr>
          <w:rFonts w:hint="eastAsia" w:ascii="黑体" w:hAnsi="黑体" w:eastAsia="黑体"/>
          <w:spacing w:val="0"/>
          <w:w w:val="100"/>
          <w:sz w:val="32"/>
          <w:szCs w:val="32"/>
        </w:rPr>
        <w:t>（以下简称《应急预案》）出台的必要性</w:t>
      </w:r>
    </w:p>
    <w:p>
      <w:pPr>
        <w:pStyle w:val="2"/>
        <w:keepNext w:val="0"/>
        <w:keepLines w:val="0"/>
        <w:pageBreakBefore w:val="0"/>
        <w:widowControl w:val="0"/>
        <w:kinsoku/>
        <w:wordWrap/>
        <w:overflowPunct/>
        <w:topLinePunct w:val="0"/>
        <w:autoSpaceDE w:val="0"/>
        <w:autoSpaceDN w:val="0"/>
        <w:bidi w:val="0"/>
        <w:adjustRightInd/>
        <w:snapToGrid/>
        <w:spacing w:before="0" w:after="0" w:line="520" w:lineRule="exact"/>
        <w:ind w:left="0" w:leftChars="0" w:right="0" w:rightChars="0" w:firstLine="640" w:firstLineChars="200"/>
        <w:textAlignment w:val="auto"/>
        <w:rPr>
          <w:rFonts w:hint="eastAsia" w:ascii="仿宋_GB2312" w:hAnsi="宋体" w:eastAsia="仿宋_GB2312"/>
          <w:spacing w:val="0"/>
          <w:w w:val="100"/>
          <w:sz w:val="32"/>
          <w:szCs w:val="32"/>
        </w:rPr>
      </w:pPr>
      <w:r>
        <w:rPr>
          <w:rFonts w:hint="eastAsia" w:ascii="仿宋_GB2312" w:hAnsi="仿宋_GB2312" w:eastAsia="仿宋_GB2312" w:cs="仿宋_GB2312"/>
          <w:color w:val="auto"/>
          <w:spacing w:val="0"/>
          <w:w w:val="100"/>
          <w:sz w:val="32"/>
          <w:szCs w:val="32"/>
        </w:rPr>
        <w:t>目前，《柳州市</w:t>
      </w:r>
      <w:r>
        <w:rPr>
          <w:rFonts w:hint="eastAsia" w:ascii="仿宋_GB2312" w:hAnsi="仿宋_GB2312" w:eastAsia="仿宋_GB2312" w:cs="仿宋_GB2312"/>
          <w:color w:val="auto"/>
          <w:spacing w:val="0"/>
          <w:w w:val="100"/>
          <w:sz w:val="32"/>
          <w:szCs w:val="32"/>
          <w:lang w:val="en-US" w:eastAsia="zh-CN"/>
        </w:rPr>
        <w:t>污染天气</w:t>
      </w:r>
      <w:r>
        <w:rPr>
          <w:rFonts w:hint="eastAsia" w:ascii="仿宋_GB2312" w:hAnsi="仿宋_GB2312" w:eastAsia="仿宋_GB2312" w:cs="仿宋_GB2312"/>
          <w:color w:val="auto"/>
          <w:spacing w:val="0"/>
          <w:w w:val="100"/>
          <w:sz w:val="32"/>
          <w:szCs w:val="32"/>
        </w:rPr>
        <w:t>应急预案</w:t>
      </w:r>
      <w:r>
        <w:rPr>
          <w:rFonts w:hint="eastAsia" w:ascii="仿宋_GB2312" w:hAnsi="仿宋_GB2312" w:eastAsia="仿宋_GB2312" w:cs="仿宋_GB2312"/>
          <w:color w:val="auto"/>
          <w:spacing w:val="0"/>
          <w:w w:val="100"/>
          <w:sz w:val="32"/>
          <w:szCs w:val="32"/>
          <w:lang w:val="en-US" w:eastAsia="zh-CN"/>
        </w:rPr>
        <w:t>（2023年修订）</w:t>
      </w:r>
      <w:r>
        <w:rPr>
          <w:rFonts w:hint="eastAsia" w:ascii="仿宋_GB2312" w:hAnsi="仿宋_GB2312" w:eastAsia="仿宋_GB2312" w:cs="仿宋_GB2312"/>
          <w:color w:val="auto"/>
          <w:spacing w:val="0"/>
          <w:w w:val="100"/>
          <w:sz w:val="32"/>
          <w:szCs w:val="32"/>
        </w:rPr>
        <w:t>》均已编制完成并印发，按照快速反应、分类管理、分级响应、资源共享、协同应对为原则，可以及时有效降低污染天气造成的不利影响</w:t>
      </w:r>
      <w:r>
        <w:rPr>
          <w:rFonts w:hint="eastAsia" w:ascii="仿宋_GB2312" w:hAnsi="仿宋_GB2312" w:eastAsia="仿宋_GB2312" w:cs="仿宋_GB2312"/>
          <w:color w:val="auto"/>
          <w:spacing w:val="0"/>
          <w:w w:val="100"/>
          <w:sz w:val="32"/>
          <w:szCs w:val="32"/>
          <w:lang w:eastAsia="zh-CN"/>
        </w:rPr>
        <w:t>。</w:t>
      </w:r>
      <w:r>
        <w:rPr>
          <w:rFonts w:hint="eastAsia" w:ascii="仿宋_GB2312" w:hAnsi="仿宋_GB2312" w:eastAsia="仿宋_GB2312" w:cs="仿宋_GB2312"/>
          <w:spacing w:val="0"/>
          <w:w w:val="100"/>
          <w:sz w:val="32"/>
          <w:szCs w:val="32"/>
        </w:rPr>
        <w:t>本预案是</w:t>
      </w:r>
      <w:r>
        <w:rPr>
          <w:rFonts w:hint="eastAsia" w:ascii="仿宋_GB2312" w:hAnsi="仿宋_GB2312" w:eastAsia="仿宋_GB2312" w:cs="仿宋_GB2312"/>
          <w:color w:val="000000"/>
          <w:spacing w:val="0"/>
          <w:w w:val="100"/>
          <w:kern w:val="0"/>
          <w:sz w:val="32"/>
          <w:szCs w:val="32"/>
          <w:lang w:val="en-US" w:eastAsia="zh-CN" w:bidi="ar"/>
        </w:rPr>
        <w:t>柳州市污染天气应急预案</w:t>
      </w:r>
      <w:r>
        <w:rPr>
          <w:rFonts w:hint="eastAsia" w:ascii="仿宋_GB2312" w:hAnsi="仿宋_GB2312" w:eastAsia="仿宋_GB2312" w:cs="仿宋_GB2312"/>
          <w:spacing w:val="0"/>
          <w:w w:val="100"/>
          <w:sz w:val="32"/>
          <w:szCs w:val="32"/>
        </w:rPr>
        <w:t>体系的组成部分，是</w:t>
      </w:r>
      <w:r>
        <w:rPr>
          <w:rFonts w:hint="eastAsia" w:ascii="仿宋_GB2312" w:hAnsi="仿宋_GB2312" w:eastAsia="仿宋_GB2312" w:cs="仿宋_GB2312"/>
          <w:spacing w:val="0"/>
          <w:w w:val="100"/>
          <w:sz w:val="32"/>
          <w:szCs w:val="32"/>
          <w:lang w:val="en-US" w:eastAsia="zh-CN"/>
        </w:rPr>
        <w:t>市级专项应急预案的下级预案，不可或缺</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lang w:val="en-US" w:eastAsia="zh-CN"/>
        </w:rPr>
        <w:t>具有</w:t>
      </w:r>
      <w:r>
        <w:rPr>
          <w:rFonts w:hint="eastAsia" w:ascii="仿宋_GB2312" w:hAnsi="仿宋_GB2312" w:eastAsia="仿宋_GB2312" w:cs="仿宋_GB2312"/>
          <w:spacing w:val="0"/>
          <w:w w:val="100"/>
          <w:sz w:val="32"/>
          <w:szCs w:val="32"/>
        </w:rPr>
        <w:t>强化统筹</w:t>
      </w:r>
      <w:r>
        <w:rPr>
          <w:rFonts w:hint="eastAsia" w:ascii="仿宋_GB2312" w:hAnsi="仿宋_GB2312" w:eastAsia="仿宋_GB2312" w:cs="仿宋_GB2312"/>
          <w:spacing w:val="0"/>
          <w:w w:val="100"/>
          <w:sz w:val="32"/>
          <w:szCs w:val="32"/>
          <w:lang w:eastAsia="zh-CN"/>
        </w:rPr>
        <w:t>鱼峰区</w:t>
      </w:r>
      <w:r>
        <w:rPr>
          <w:rFonts w:hint="eastAsia" w:ascii="仿宋_GB2312" w:hAnsi="仿宋_GB2312" w:eastAsia="仿宋_GB2312" w:cs="仿宋_GB2312"/>
          <w:spacing w:val="0"/>
          <w:w w:val="100"/>
          <w:sz w:val="32"/>
          <w:szCs w:val="32"/>
        </w:rPr>
        <w:t>污染天气应急应对工作，落实应急减排各项措施，科学应对污染天气，及时有效控制、减少或消除污染天气带来的危害，更好地保障公众身体健康和社会稳定</w:t>
      </w:r>
      <w:r>
        <w:rPr>
          <w:rFonts w:hint="eastAsia" w:ascii="仿宋_GB2312" w:hAnsi="仿宋_GB2312" w:eastAsia="仿宋_GB2312" w:cs="仿宋_GB2312"/>
          <w:spacing w:val="0"/>
          <w:w w:val="100"/>
          <w:sz w:val="32"/>
          <w:szCs w:val="32"/>
          <w:lang w:val="en-US" w:eastAsia="zh-CN"/>
        </w:rPr>
        <w:t>的作用</w:t>
      </w:r>
      <w:r>
        <w:rPr>
          <w:rFonts w:hint="eastAsia" w:ascii="仿宋_GB2312" w:hAnsi="仿宋_GB2312" w:eastAsia="仿宋_GB2312" w:cs="仿宋_GB2312"/>
          <w:spacing w:val="0"/>
          <w:w w:val="100"/>
          <w:sz w:val="32"/>
          <w:szCs w:val="32"/>
        </w:rPr>
        <w:t>。</w:t>
      </w:r>
    </w:p>
    <w:p>
      <w:pPr>
        <w:keepNext w:val="0"/>
        <w:keepLines w:val="0"/>
        <w:pageBreakBefore w:val="0"/>
        <w:kinsoku/>
        <w:wordWrap/>
        <w:overflowPunct/>
        <w:topLinePunct w:val="0"/>
        <w:bidi w:val="0"/>
        <w:adjustRightInd/>
        <w:snapToGrid/>
        <w:spacing w:line="520" w:lineRule="exact"/>
        <w:ind w:right="0" w:firstLine="640" w:firstLineChars="200"/>
        <w:textAlignment w:val="auto"/>
        <w:rPr>
          <w:rFonts w:hint="eastAsia" w:ascii="黑体" w:hAnsi="黑体" w:eastAsia="黑体"/>
          <w:spacing w:val="0"/>
          <w:w w:val="100"/>
          <w:sz w:val="32"/>
          <w:szCs w:val="32"/>
        </w:rPr>
      </w:pPr>
      <w:r>
        <w:rPr>
          <w:rFonts w:hint="eastAsia" w:ascii="黑体" w:hAnsi="黑体" w:eastAsia="黑体"/>
          <w:spacing w:val="0"/>
          <w:w w:val="100"/>
          <w:sz w:val="32"/>
          <w:szCs w:val="32"/>
        </w:rPr>
        <w:t>二、《应急预案》的制订依据</w:t>
      </w:r>
    </w:p>
    <w:p>
      <w:pPr>
        <w:keepNext w:val="0"/>
        <w:keepLines w:val="0"/>
        <w:pageBreakBefore w:val="0"/>
        <w:kinsoku/>
        <w:wordWrap/>
        <w:overflowPunct/>
        <w:topLinePunct w:val="0"/>
        <w:bidi w:val="0"/>
        <w:adjustRightInd/>
        <w:snapToGrid/>
        <w:spacing w:line="520" w:lineRule="exact"/>
        <w:ind w:right="0" w:firstLine="640" w:firstLineChars="200"/>
        <w:textAlignment w:val="auto"/>
        <w:outlineLvl w:val="0"/>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中华人民共和国环境保护法》、《中华人民共和国大气污染防治法》、《中华人民共和国突发事件应对法》、《环境空气质量标准》（GB095—2012）、《环境空气质量指数（AQI）技术规定（试行）》（HJ633—2012）、生态环境部办公厅《关于印送〈关于推进重污染天气应急预案修订工作的指导意见〉的函》（环办大气函〔2018〕875 号）、《广西壮族自治区大气污染防治条例》、《广西壮族自治区污染天气应急预案》</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color w:val="000000"/>
          <w:spacing w:val="0"/>
          <w:w w:val="100"/>
          <w:kern w:val="0"/>
          <w:sz w:val="32"/>
          <w:szCs w:val="32"/>
          <w:lang w:val="en-US" w:eastAsia="zh-CN" w:bidi="ar"/>
        </w:rPr>
        <w:t>柳州市污染天气应急预案（2023 年修订）</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等。</w:t>
      </w:r>
    </w:p>
    <w:p>
      <w:pPr>
        <w:keepNext w:val="0"/>
        <w:keepLines w:val="0"/>
        <w:pageBreakBefore w:val="0"/>
        <w:kinsoku/>
        <w:wordWrap/>
        <w:overflowPunct/>
        <w:topLinePunct w:val="0"/>
        <w:bidi w:val="0"/>
        <w:adjustRightInd/>
        <w:snapToGrid/>
        <w:spacing w:line="520" w:lineRule="exact"/>
        <w:ind w:right="0" w:firstLine="640" w:firstLineChars="200"/>
        <w:textAlignment w:val="auto"/>
        <w:outlineLvl w:val="0"/>
        <w:rPr>
          <w:rFonts w:hint="eastAsia" w:ascii="黑体" w:hAnsi="黑体" w:eastAsia="黑体"/>
          <w:spacing w:val="0"/>
          <w:w w:val="100"/>
          <w:sz w:val="32"/>
          <w:szCs w:val="32"/>
        </w:rPr>
      </w:pPr>
      <w:r>
        <w:rPr>
          <w:rFonts w:hint="eastAsia" w:ascii="黑体" w:hAnsi="黑体" w:eastAsia="黑体"/>
          <w:spacing w:val="0"/>
          <w:w w:val="100"/>
          <w:sz w:val="32"/>
          <w:szCs w:val="32"/>
        </w:rPr>
        <w:t>三、适用范围及预警分级</w:t>
      </w:r>
    </w:p>
    <w:p>
      <w:pPr>
        <w:pStyle w:val="5"/>
        <w:keepNext w:val="0"/>
        <w:keepLines w:val="0"/>
        <w:pageBreakBefore w:val="0"/>
        <w:kinsoku/>
        <w:wordWrap/>
        <w:overflowPunct/>
        <w:topLinePunct w:val="0"/>
        <w:bidi w:val="0"/>
        <w:adjustRightInd/>
        <w:snapToGrid/>
        <w:spacing w:before="0" w:beforeAutospacing="0" w:after="0" w:afterAutospacing="0" w:line="520" w:lineRule="exact"/>
        <w:ind w:right="0" w:firstLine="640" w:firstLineChars="200"/>
        <w:jc w:val="both"/>
        <w:textAlignment w:val="auto"/>
        <w:rPr>
          <w:rFonts w:hint="eastAsia" w:ascii="仿宋_GB2312" w:eastAsia="仿宋_GB2312"/>
          <w:color w:val="000000"/>
          <w:spacing w:val="0"/>
          <w:w w:val="100"/>
          <w:kern w:val="2"/>
          <w:sz w:val="32"/>
          <w:szCs w:val="32"/>
        </w:rPr>
      </w:pPr>
      <w:r>
        <w:rPr>
          <w:rFonts w:hint="eastAsia" w:ascii="仿宋_GB2312" w:hAnsi="仿宋_GB2312" w:eastAsia="仿宋_GB2312" w:cs="仿宋_GB2312"/>
          <w:spacing w:val="0"/>
          <w:w w:val="100"/>
          <w:sz w:val="32"/>
          <w:szCs w:val="32"/>
        </w:rPr>
        <w:t>本辖区内发生污染天气时的预警及应对工作。</w:t>
      </w:r>
    </w:p>
    <w:p>
      <w:pPr>
        <w:keepNext w:val="0"/>
        <w:keepLines w:val="0"/>
        <w:pageBreakBefore w:val="0"/>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spacing w:val="0"/>
          <w:w w:val="100"/>
          <w:sz w:val="32"/>
          <w:szCs w:val="32"/>
          <w:lang w:eastAsia="zh-CN"/>
        </w:rPr>
      </w:pPr>
      <w:r>
        <w:rPr>
          <w:rFonts w:hint="eastAsia" w:ascii="仿宋_GB2312" w:hAnsi="仿宋_GB2312" w:eastAsia="仿宋_GB2312" w:cs="仿宋_GB2312"/>
          <w:spacing w:val="0"/>
          <w:w w:val="100"/>
          <w:sz w:val="32"/>
          <w:szCs w:val="32"/>
        </w:rPr>
        <w:t>按照污染天气的发展趋势和严重程度，本</w:t>
      </w:r>
      <w:r>
        <w:rPr>
          <w:rFonts w:hint="eastAsia" w:ascii="仿宋_GB2312" w:hAnsi="仿宋_GB2312" w:eastAsia="仿宋_GB2312" w:cs="仿宋_GB2312"/>
          <w:spacing w:val="0"/>
          <w:w w:val="100"/>
          <w:sz w:val="32"/>
          <w:szCs w:val="32"/>
          <w:lang w:eastAsia="zh-CN"/>
        </w:rPr>
        <w:t>区</w:t>
      </w:r>
      <w:r>
        <w:rPr>
          <w:rFonts w:hint="eastAsia" w:ascii="仿宋_GB2312" w:hAnsi="仿宋_GB2312" w:eastAsia="仿宋_GB2312" w:cs="仿宋_GB2312"/>
          <w:spacing w:val="0"/>
          <w:w w:val="100"/>
          <w:sz w:val="32"/>
          <w:szCs w:val="32"/>
        </w:rPr>
        <w:t>污染天气预警划分为三个等级，由低到高顺序依次为黄色预警、橙色预警、红色预警</w:t>
      </w:r>
      <w:r>
        <w:rPr>
          <w:rFonts w:hint="eastAsia" w:ascii="仿宋_GB2312" w:hAnsi="仿宋_GB2312" w:eastAsia="仿宋_GB2312" w:cs="仿宋_GB2312"/>
          <w:spacing w:val="0"/>
          <w:w w:val="100"/>
          <w:sz w:val="32"/>
          <w:szCs w:val="32"/>
          <w:lang w:eastAsia="zh-CN"/>
        </w:rPr>
        <w:t>。</w:t>
      </w:r>
    </w:p>
    <w:p>
      <w:pPr>
        <w:keepNext w:val="0"/>
        <w:keepLines w:val="0"/>
        <w:pageBreakBefore w:val="0"/>
        <w:kinsoku/>
        <w:wordWrap/>
        <w:overflowPunct/>
        <w:topLinePunct w:val="0"/>
        <w:bidi w:val="0"/>
        <w:adjustRightInd/>
        <w:snapToGrid/>
        <w:spacing w:line="520" w:lineRule="exact"/>
        <w:ind w:right="0" w:firstLine="800" w:firstLineChars="250"/>
        <w:textAlignment w:val="auto"/>
        <w:rPr>
          <w:rFonts w:hint="eastAsia" w:ascii="黑体" w:hAnsi="黑体" w:eastAsia="黑体"/>
          <w:spacing w:val="0"/>
          <w:w w:val="100"/>
          <w:sz w:val="32"/>
          <w:szCs w:val="32"/>
        </w:rPr>
      </w:pPr>
      <w:r>
        <w:rPr>
          <w:rFonts w:hint="eastAsia" w:ascii="黑体" w:hAnsi="黑体" w:eastAsia="黑体"/>
          <w:spacing w:val="0"/>
          <w:w w:val="100"/>
          <w:sz w:val="32"/>
          <w:szCs w:val="32"/>
        </w:rPr>
        <w:t>四、预案体系</w:t>
      </w:r>
    </w:p>
    <w:p>
      <w:pPr>
        <w:keepNext w:val="0"/>
        <w:keepLines w:val="0"/>
        <w:pageBreakBefore w:val="0"/>
        <w:kinsoku/>
        <w:wordWrap/>
        <w:overflowPunct/>
        <w:topLinePunct w:val="0"/>
        <w:bidi w:val="0"/>
        <w:adjustRightInd/>
        <w:snapToGrid/>
        <w:spacing w:line="520" w:lineRule="exact"/>
        <w:ind w:right="0" w:firstLine="640" w:firstLineChars="200"/>
        <w:textAlignment w:val="auto"/>
        <w:rPr>
          <w:rFonts w:ascii="Times New Roman" w:hAnsi="Times New Roman" w:eastAsia="仿宋_GB2312" w:cs="Times New Roman"/>
          <w:spacing w:val="0"/>
          <w:w w:val="100"/>
          <w:sz w:val="32"/>
          <w:szCs w:val="32"/>
        </w:rPr>
      </w:pPr>
      <w:r>
        <w:rPr>
          <w:rFonts w:hint="eastAsia" w:ascii="仿宋_GB2312" w:hAnsi="仿宋_GB2312" w:eastAsia="仿宋_GB2312" w:cs="仿宋_GB2312"/>
          <w:spacing w:val="0"/>
          <w:w w:val="100"/>
          <w:sz w:val="32"/>
          <w:szCs w:val="32"/>
        </w:rPr>
        <w:t>本预案是</w:t>
      </w:r>
      <w:r>
        <w:rPr>
          <w:rFonts w:hint="eastAsia" w:ascii="仿宋_GB2312" w:hAnsi="仿宋_GB2312" w:eastAsia="仿宋_GB2312" w:cs="仿宋_GB2312"/>
          <w:color w:val="000000"/>
          <w:spacing w:val="0"/>
          <w:w w:val="100"/>
          <w:kern w:val="0"/>
          <w:sz w:val="32"/>
          <w:szCs w:val="32"/>
          <w:lang w:val="en-US" w:eastAsia="zh-CN" w:bidi="ar"/>
        </w:rPr>
        <w:t>柳州市污染天气应急预案</w:t>
      </w:r>
      <w:r>
        <w:rPr>
          <w:rFonts w:hint="eastAsia" w:ascii="仿宋_GB2312" w:hAnsi="仿宋_GB2312" w:eastAsia="仿宋_GB2312" w:cs="仿宋_GB2312"/>
          <w:spacing w:val="0"/>
          <w:w w:val="100"/>
          <w:sz w:val="32"/>
          <w:szCs w:val="32"/>
        </w:rPr>
        <w:t>体系的组成部分，是</w:t>
      </w:r>
      <w:r>
        <w:rPr>
          <w:rFonts w:hint="eastAsia" w:ascii="仿宋_GB2312" w:hAnsi="仿宋_GB2312" w:eastAsia="仿宋_GB2312" w:cs="仿宋_GB2312"/>
          <w:spacing w:val="0"/>
          <w:w w:val="100"/>
          <w:sz w:val="32"/>
          <w:szCs w:val="32"/>
          <w:lang w:val="en-US" w:eastAsia="zh-CN"/>
        </w:rPr>
        <w:t>市级专项应急预案的下级预案。</w:t>
      </w:r>
    </w:p>
    <w:p>
      <w:pPr>
        <w:keepNext w:val="0"/>
        <w:keepLines w:val="0"/>
        <w:pageBreakBefore w:val="0"/>
        <w:kinsoku/>
        <w:wordWrap/>
        <w:overflowPunct/>
        <w:topLinePunct w:val="0"/>
        <w:bidi w:val="0"/>
        <w:adjustRightInd/>
        <w:snapToGrid/>
        <w:spacing w:line="520" w:lineRule="exact"/>
        <w:ind w:right="0" w:firstLine="640" w:firstLineChars="200"/>
        <w:textAlignment w:val="auto"/>
        <w:rPr>
          <w:rFonts w:hint="eastAsia" w:ascii="黑体" w:hAnsi="黑体" w:eastAsia="黑体"/>
          <w:spacing w:val="0"/>
          <w:w w:val="100"/>
          <w:sz w:val="32"/>
          <w:szCs w:val="32"/>
        </w:rPr>
      </w:pPr>
      <w:r>
        <w:rPr>
          <w:rFonts w:hint="eastAsia" w:ascii="黑体" w:hAnsi="黑体" w:eastAsia="黑体"/>
          <w:spacing w:val="0"/>
          <w:w w:val="100"/>
          <w:sz w:val="32"/>
          <w:szCs w:val="32"/>
        </w:rPr>
        <w:t>五、《应急预案》主要内容</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rPr>
      </w:pPr>
      <w:r>
        <w:rPr>
          <w:rFonts w:hint="eastAsia" w:ascii="仿宋_GB2312" w:hAnsi="仿宋_GB2312" w:eastAsia="仿宋_GB2312" w:cs="仿宋_GB2312"/>
          <w:color w:val="000000"/>
          <w:spacing w:val="0"/>
          <w:w w:val="100"/>
          <w:sz w:val="32"/>
          <w:szCs w:val="32"/>
        </w:rPr>
        <w:t>《应急预案》由</w:t>
      </w:r>
      <w:r>
        <w:rPr>
          <w:rFonts w:hint="eastAsia" w:ascii="仿宋_GB2312" w:hAnsi="仿宋_GB2312" w:eastAsia="仿宋_GB2312" w:cs="仿宋_GB2312"/>
          <w:color w:val="000000"/>
          <w:spacing w:val="0"/>
          <w:w w:val="100"/>
          <w:sz w:val="32"/>
          <w:szCs w:val="32"/>
          <w:lang w:val="en-US" w:eastAsia="zh-CN"/>
        </w:rPr>
        <w:t>十</w:t>
      </w:r>
      <w:r>
        <w:rPr>
          <w:rFonts w:hint="eastAsia" w:ascii="仿宋_GB2312" w:hAnsi="仿宋_GB2312" w:eastAsia="仿宋_GB2312" w:cs="仿宋_GB2312"/>
          <w:color w:val="000000"/>
          <w:spacing w:val="0"/>
          <w:w w:val="100"/>
          <w:sz w:val="32"/>
          <w:szCs w:val="32"/>
        </w:rPr>
        <w:t>个部分组成，具体分为总则</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rPr>
        <w:t>组织机构与职责、预警分级、应急响应措施</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rPr>
        <w:t>预警响应程序</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rPr>
        <w:t>新闻发布</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rPr>
        <w:t>总结评估、保障措施</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rPr>
        <w:t>监督问责</w:t>
      </w:r>
      <w:bookmarkStart w:id="0" w:name="_GoBack"/>
      <w:bookmarkEnd w:id="0"/>
      <w:r>
        <w:rPr>
          <w:rFonts w:hint="eastAsia" w:ascii="仿宋_GB2312" w:hAnsi="仿宋_GB2312" w:eastAsia="仿宋_GB2312" w:cs="仿宋_GB2312"/>
          <w:color w:val="000000"/>
          <w:spacing w:val="0"/>
          <w:w w:val="100"/>
          <w:sz w:val="32"/>
          <w:szCs w:val="32"/>
          <w:lang w:val="en-US" w:eastAsia="zh-CN"/>
        </w:rPr>
        <w:t>及</w:t>
      </w:r>
      <w:r>
        <w:rPr>
          <w:rFonts w:hint="eastAsia" w:ascii="仿宋_GB2312" w:hAnsi="仿宋_GB2312" w:eastAsia="仿宋_GB2312" w:cs="仿宋_GB2312"/>
          <w:color w:val="000000"/>
          <w:spacing w:val="0"/>
          <w:w w:val="100"/>
          <w:sz w:val="32"/>
          <w:szCs w:val="32"/>
        </w:rPr>
        <w:t>附则。</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rPr>
      </w:pPr>
      <w:r>
        <w:rPr>
          <w:rFonts w:hint="eastAsia" w:ascii="仿宋_GB2312" w:hAnsi="仿宋_GB2312" w:eastAsia="仿宋_GB2312" w:cs="仿宋_GB2312"/>
          <w:color w:val="000000"/>
          <w:spacing w:val="0"/>
          <w:w w:val="100"/>
          <w:sz w:val="32"/>
          <w:szCs w:val="32"/>
        </w:rPr>
        <w:t>（一）第一部分总则。主要规定了预案编制目的、编制依据、适用范围、工作原则及预案体系。</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rPr>
      </w:pPr>
      <w:r>
        <w:rPr>
          <w:rFonts w:hint="eastAsia" w:ascii="仿宋_GB2312" w:hAnsi="仿宋_GB2312" w:eastAsia="仿宋_GB2312" w:cs="仿宋_GB2312"/>
          <w:color w:val="000000"/>
          <w:spacing w:val="0"/>
          <w:w w:val="100"/>
          <w:sz w:val="32"/>
          <w:szCs w:val="32"/>
        </w:rPr>
        <w:t>（二）第二部分组织机构与职责。确定了</w:t>
      </w:r>
      <w:r>
        <w:rPr>
          <w:rFonts w:hint="eastAsia" w:ascii="仿宋_GB2312" w:hAnsi="仿宋_GB2312" w:eastAsia="仿宋_GB2312" w:cs="仿宋_GB2312"/>
          <w:color w:val="000000"/>
          <w:spacing w:val="0"/>
          <w:w w:val="100"/>
          <w:sz w:val="32"/>
          <w:szCs w:val="32"/>
          <w:lang w:val="en-US" w:eastAsia="zh-CN"/>
        </w:rPr>
        <w:t>鱼峰区</w:t>
      </w:r>
      <w:r>
        <w:rPr>
          <w:rFonts w:hint="eastAsia" w:ascii="仿宋_GB2312" w:hAnsi="仿宋_GB2312" w:eastAsia="仿宋_GB2312" w:cs="仿宋_GB2312"/>
          <w:color w:val="000000"/>
          <w:spacing w:val="0"/>
          <w:w w:val="100"/>
          <w:sz w:val="32"/>
          <w:szCs w:val="32"/>
        </w:rPr>
        <w:t>污染天气应急组织体系及组成，明确了</w:t>
      </w:r>
      <w:r>
        <w:rPr>
          <w:rFonts w:hint="eastAsia" w:ascii="仿宋_GB2312" w:hAnsi="仿宋_GB2312" w:eastAsia="仿宋_GB2312" w:cs="仿宋_GB2312"/>
          <w:color w:val="000000"/>
          <w:spacing w:val="0"/>
          <w:w w:val="100"/>
          <w:sz w:val="32"/>
          <w:szCs w:val="32"/>
          <w:lang w:val="en-US" w:eastAsia="zh-CN"/>
        </w:rPr>
        <w:t>鱼峰区</w:t>
      </w:r>
      <w:r>
        <w:rPr>
          <w:rFonts w:hint="eastAsia" w:ascii="仿宋_GB2312" w:hAnsi="仿宋_GB2312" w:eastAsia="仿宋_GB2312" w:cs="仿宋_GB2312"/>
          <w:color w:val="000000"/>
          <w:spacing w:val="0"/>
          <w:w w:val="100"/>
          <w:sz w:val="32"/>
          <w:szCs w:val="32"/>
        </w:rPr>
        <w:t>人民政府各部门工作职责及分工。</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rPr>
      </w:pPr>
      <w:r>
        <w:rPr>
          <w:rFonts w:hint="eastAsia" w:ascii="仿宋_GB2312" w:hAnsi="仿宋_GB2312" w:eastAsia="仿宋_GB2312" w:cs="仿宋_GB2312"/>
          <w:color w:val="000000"/>
          <w:spacing w:val="0"/>
          <w:w w:val="100"/>
          <w:sz w:val="32"/>
          <w:szCs w:val="32"/>
        </w:rPr>
        <w:t>（三）第三部分预警分级。明确了监测预报与会商、预警分级标准预警分级、预警响应程序等要求。</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rPr>
      </w:pPr>
      <w:r>
        <w:rPr>
          <w:rFonts w:hint="eastAsia" w:ascii="仿宋_GB2312" w:hAnsi="仿宋_GB2312" w:eastAsia="仿宋_GB2312" w:cs="仿宋_GB2312"/>
          <w:color w:val="000000"/>
          <w:spacing w:val="0"/>
          <w:w w:val="100"/>
          <w:sz w:val="32"/>
          <w:szCs w:val="32"/>
        </w:rPr>
        <w:t>（四）第四部分应急响应措施。对污染天气应急响应分级、应急响应措施（健康防护引导措施、倡议性污染减排措施、强制性污染减排措施）作出具体要求。</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lang w:val="en-US" w:eastAsia="zh-CN"/>
        </w:rPr>
      </w:pP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五</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第五部分</w:t>
      </w:r>
      <w:r>
        <w:rPr>
          <w:rFonts w:hint="eastAsia" w:ascii="仿宋_GB2312" w:hAnsi="仿宋_GB2312" w:eastAsia="仿宋_GB2312" w:cs="仿宋_GB2312"/>
          <w:color w:val="000000"/>
          <w:spacing w:val="0"/>
          <w:w w:val="100"/>
          <w:sz w:val="32"/>
          <w:szCs w:val="32"/>
        </w:rPr>
        <w:t>预警响应程序</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对</w:t>
      </w:r>
      <w:r>
        <w:rPr>
          <w:rFonts w:hint="eastAsia" w:ascii="仿宋_GB2312" w:hAnsi="仿宋_GB2312" w:eastAsia="仿宋_GB2312" w:cs="仿宋_GB2312"/>
          <w:spacing w:val="0"/>
          <w:w w:val="100"/>
          <w:sz w:val="32"/>
          <w:szCs w:val="32"/>
        </w:rPr>
        <w:t>预警批准和发布</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预警响应</w:t>
      </w:r>
      <w:r>
        <w:rPr>
          <w:rFonts w:hint="eastAsia" w:ascii="仿宋_GB2312" w:hAnsi="仿宋_GB2312" w:eastAsia="仿宋_GB2312" w:cs="仿宋_GB2312"/>
          <w:spacing w:val="0"/>
          <w:w w:val="100"/>
          <w:sz w:val="32"/>
          <w:szCs w:val="32"/>
          <w:lang w:val="en-US" w:eastAsia="zh-CN"/>
        </w:rPr>
        <w:t>及</w:t>
      </w:r>
      <w:r>
        <w:rPr>
          <w:rFonts w:hint="eastAsia" w:ascii="仿宋_GB2312" w:hAnsi="仿宋_GB2312" w:eastAsia="仿宋_GB2312" w:cs="仿宋_GB2312"/>
          <w:spacing w:val="0"/>
          <w:w w:val="100"/>
          <w:sz w:val="32"/>
          <w:szCs w:val="32"/>
        </w:rPr>
        <w:t>预警调整及解除</w:t>
      </w:r>
      <w:r>
        <w:rPr>
          <w:rFonts w:hint="eastAsia" w:ascii="仿宋_GB2312" w:hAnsi="仿宋_GB2312" w:eastAsia="仿宋_GB2312" w:cs="仿宋_GB2312"/>
          <w:spacing w:val="0"/>
          <w:w w:val="100"/>
          <w:sz w:val="32"/>
          <w:szCs w:val="32"/>
          <w:lang w:val="en-US" w:eastAsia="zh-CN"/>
        </w:rPr>
        <w:t>等程序作出规定。</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lang w:val="en-US" w:eastAsia="zh-CN"/>
        </w:rPr>
      </w:pP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六</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第六部分</w:t>
      </w:r>
      <w:r>
        <w:rPr>
          <w:rFonts w:hint="eastAsia" w:ascii="仿宋_GB2312" w:hAnsi="仿宋_GB2312" w:eastAsia="仿宋_GB2312" w:cs="仿宋_GB2312"/>
          <w:color w:val="000000"/>
          <w:spacing w:val="0"/>
          <w:w w:val="100"/>
          <w:sz w:val="32"/>
          <w:szCs w:val="32"/>
        </w:rPr>
        <w:t>新闻发布</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明确了</w:t>
      </w:r>
      <w:r>
        <w:rPr>
          <w:rFonts w:hint="eastAsia" w:ascii="仿宋_GB2312" w:hAnsi="仿宋_GB2312" w:eastAsia="仿宋_GB2312" w:cs="仿宋_GB2312"/>
          <w:spacing w:val="0"/>
          <w:w w:val="100"/>
          <w:sz w:val="32"/>
          <w:szCs w:val="32"/>
        </w:rPr>
        <w:t>宣传部门及各成员单位应加强对大气污染防治知识和有关工作的日常宣传和报道</w:t>
      </w:r>
      <w:r>
        <w:rPr>
          <w:rFonts w:hint="eastAsia" w:ascii="仿宋_GB2312" w:hAnsi="仿宋_GB2312" w:eastAsia="仿宋_GB2312" w:cs="仿宋_GB2312"/>
          <w:spacing w:val="0"/>
          <w:w w:val="100"/>
          <w:sz w:val="32"/>
          <w:szCs w:val="32"/>
          <w:lang w:val="en-US" w:eastAsia="zh-CN"/>
        </w:rPr>
        <w:t>的要求。</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rPr>
      </w:pP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七</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第七部分</w:t>
      </w:r>
      <w:r>
        <w:rPr>
          <w:rFonts w:hint="eastAsia" w:ascii="仿宋_GB2312" w:hAnsi="仿宋_GB2312" w:eastAsia="仿宋_GB2312" w:cs="仿宋_GB2312"/>
          <w:color w:val="000000"/>
          <w:spacing w:val="0"/>
          <w:w w:val="100"/>
          <w:sz w:val="32"/>
          <w:szCs w:val="32"/>
        </w:rPr>
        <w:t>总结评估</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rPr>
        <w:t>明确应急响应终止后各成员单位报送总结报告具体内容及上报时限等。</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lang w:eastAsia="zh-CN"/>
        </w:rPr>
      </w:pP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八</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第八部分</w:t>
      </w:r>
      <w:r>
        <w:rPr>
          <w:rFonts w:hint="eastAsia" w:ascii="仿宋_GB2312" w:hAnsi="仿宋_GB2312" w:eastAsia="仿宋_GB2312" w:cs="仿宋_GB2312"/>
          <w:color w:val="000000"/>
          <w:spacing w:val="0"/>
          <w:w w:val="100"/>
          <w:sz w:val="32"/>
          <w:szCs w:val="32"/>
        </w:rPr>
        <w:t>保障措施</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rPr>
        <w:t>主要明确</w:t>
      </w:r>
      <w:r>
        <w:rPr>
          <w:rFonts w:hint="eastAsia" w:ascii="仿宋_GB2312" w:hAnsi="仿宋_GB2312" w:eastAsia="仿宋_GB2312" w:cs="仿宋_GB2312"/>
          <w:spacing w:val="0"/>
          <w:w w:val="100"/>
          <w:sz w:val="32"/>
          <w:szCs w:val="32"/>
        </w:rPr>
        <w:t>组织</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经费</w:t>
      </w:r>
      <w:r>
        <w:rPr>
          <w:rFonts w:hint="eastAsia" w:ascii="仿宋_GB2312" w:hAnsi="仿宋_GB2312" w:eastAsia="仿宋_GB2312" w:cs="仿宋_GB2312"/>
          <w:spacing w:val="0"/>
          <w:w w:val="100"/>
          <w:sz w:val="32"/>
          <w:szCs w:val="32"/>
          <w:lang w:val="en-US" w:eastAsia="zh-CN"/>
        </w:rPr>
        <w:t>及</w:t>
      </w:r>
      <w:r>
        <w:rPr>
          <w:rFonts w:hint="eastAsia" w:ascii="仿宋_GB2312" w:hAnsi="仿宋_GB2312" w:eastAsia="仿宋_GB2312" w:cs="仿宋_GB2312"/>
          <w:spacing w:val="0"/>
          <w:w w:val="100"/>
          <w:sz w:val="32"/>
          <w:szCs w:val="32"/>
        </w:rPr>
        <w:t>技术</w:t>
      </w:r>
      <w:r>
        <w:rPr>
          <w:rFonts w:hint="eastAsia" w:ascii="仿宋_GB2312" w:hAnsi="仿宋_GB2312" w:eastAsia="仿宋_GB2312" w:cs="仿宋_GB2312"/>
          <w:color w:val="000000"/>
          <w:spacing w:val="0"/>
          <w:w w:val="100"/>
          <w:sz w:val="32"/>
          <w:szCs w:val="32"/>
        </w:rPr>
        <w:t>等</w:t>
      </w:r>
      <w:r>
        <w:rPr>
          <w:rFonts w:hint="eastAsia" w:ascii="仿宋_GB2312" w:hAnsi="仿宋_GB2312" w:eastAsia="仿宋_GB2312" w:cs="仿宋_GB2312"/>
          <w:color w:val="000000"/>
          <w:spacing w:val="0"/>
          <w:w w:val="100"/>
          <w:sz w:val="32"/>
          <w:szCs w:val="32"/>
          <w:lang w:val="en-US" w:eastAsia="zh-CN"/>
        </w:rPr>
        <w:t>5</w:t>
      </w:r>
      <w:r>
        <w:rPr>
          <w:rFonts w:hint="eastAsia" w:ascii="仿宋_GB2312" w:hAnsi="仿宋_GB2312" w:eastAsia="仿宋_GB2312" w:cs="仿宋_GB2312"/>
          <w:color w:val="000000"/>
          <w:spacing w:val="0"/>
          <w:w w:val="100"/>
          <w:sz w:val="32"/>
          <w:szCs w:val="32"/>
        </w:rPr>
        <w:t>项保障措施。</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lang w:eastAsia="zh-CN"/>
        </w:rPr>
      </w:pP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九</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第九部分</w:t>
      </w:r>
      <w:r>
        <w:rPr>
          <w:rFonts w:hint="eastAsia" w:ascii="仿宋_GB2312" w:hAnsi="仿宋_GB2312" w:eastAsia="仿宋_GB2312" w:cs="仿宋_GB2312"/>
          <w:color w:val="000000"/>
          <w:spacing w:val="0"/>
          <w:w w:val="100"/>
          <w:sz w:val="32"/>
          <w:szCs w:val="32"/>
        </w:rPr>
        <w:t>监督问责</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rPr>
        <w:t>主要</w:t>
      </w:r>
      <w:r>
        <w:rPr>
          <w:rFonts w:hint="eastAsia" w:ascii="仿宋_GB2312" w:hAnsi="仿宋_GB2312" w:eastAsia="仿宋_GB2312" w:cs="仿宋_GB2312"/>
          <w:color w:val="000000"/>
          <w:spacing w:val="0"/>
          <w:w w:val="100"/>
          <w:sz w:val="32"/>
          <w:szCs w:val="32"/>
          <w:lang w:val="en-US" w:eastAsia="zh-CN"/>
        </w:rPr>
        <w:t>明确</w:t>
      </w:r>
      <w:r>
        <w:rPr>
          <w:rFonts w:hint="eastAsia" w:ascii="仿宋_GB2312" w:hAnsi="仿宋_GB2312" w:eastAsia="仿宋_GB2312" w:cs="仿宋_GB2312"/>
          <w:spacing w:val="0"/>
          <w:w w:val="100"/>
          <w:sz w:val="32"/>
          <w:szCs w:val="32"/>
        </w:rPr>
        <w:t>对因工作不力、履职缺位等导致未能有效应对污染天气的成员单位，将依法依纪追究有关单位及人员责任。</w:t>
      </w:r>
    </w:p>
    <w:p>
      <w:pPr>
        <w:keepNext w:val="0"/>
        <w:keepLines w:val="0"/>
        <w:pageBreakBefore w:val="0"/>
        <w:shd w:val="clear" w:color="auto" w:fill="FFFFFF"/>
        <w:kinsoku/>
        <w:wordWrap/>
        <w:overflowPunct/>
        <w:topLinePunct w:val="0"/>
        <w:bidi w:val="0"/>
        <w:adjustRightInd/>
        <w:snapToGrid/>
        <w:spacing w:line="520" w:lineRule="exact"/>
        <w:ind w:right="0" w:firstLine="640" w:firstLineChars="200"/>
        <w:textAlignment w:val="auto"/>
        <w:rPr>
          <w:rFonts w:hint="eastAsia" w:ascii="仿宋_GB2312" w:hAnsi="仿宋_GB2312" w:eastAsia="仿宋_GB2312" w:cs="仿宋_GB2312"/>
          <w:color w:val="000000"/>
          <w:spacing w:val="0"/>
          <w:w w:val="100"/>
          <w:sz w:val="32"/>
          <w:szCs w:val="32"/>
          <w:lang w:eastAsia="zh-CN"/>
        </w:rPr>
      </w:pP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十</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color w:val="000000"/>
          <w:spacing w:val="0"/>
          <w:w w:val="100"/>
          <w:sz w:val="32"/>
          <w:szCs w:val="32"/>
          <w:lang w:val="en-US" w:eastAsia="zh-CN"/>
        </w:rPr>
        <w:t>第十部分</w:t>
      </w:r>
      <w:r>
        <w:rPr>
          <w:rFonts w:hint="eastAsia" w:ascii="仿宋_GB2312" w:hAnsi="仿宋_GB2312" w:eastAsia="仿宋_GB2312" w:cs="仿宋_GB2312"/>
          <w:color w:val="000000"/>
          <w:spacing w:val="0"/>
          <w:w w:val="100"/>
          <w:sz w:val="32"/>
          <w:szCs w:val="32"/>
        </w:rPr>
        <w:t>附则</w:t>
      </w:r>
      <w:r>
        <w:rPr>
          <w:rFonts w:hint="eastAsia" w:ascii="仿宋_GB2312" w:hAnsi="仿宋_GB2312" w:eastAsia="仿宋_GB2312" w:cs="仿宋_GB2312"/>
          <w:color w:val="000000"/>
          <w:spacing w:val="0"/>
          <w:w w:val="100"/>
          <w:sz w:val="32"/>
          <w:szCs w:val="32"/>
          <w:lang w:eastAsia="zh-CN"/>
        </w:rPr>
        <w:t>。</w:t>
      </w:r>
      <w:r>
        <w:rPr>
          <w:rFonts w:hint="eastAsia" w:ascii="仿宋_GB2312" w:hAnsi="仿宋_GB2312" w:eastAsia="仿宋_GB2312" w:cs="仿宋_GB2312"/>
          <w:spacing w:val="0"/>
          <w:w w:val="100"/>
          <w:sz w:val="32"/>
          <w:szCs w:val="32"/>
        </w:rPr>
        <w:t>根据国家、自治区污染天气应急工作部署和本预案实施过程中发现的问题等情况，</w:t>
      </w:r>
      <w:r>
        <w:rPr>
          <w:rFonts w:hint="eastAsia" w:ascii="仿宋_GB2312" w:hAnsi="仿宋_GB2312" w:eastAsia="仿宋_GB2312" w:cs="仿宋_GB2312"/>
          <w:spacing w:val="0"/>
          <w:w w:val="100"/>
          <w:sz w:val="32"/>
          <w:szCs w:val="32"/>
          <w:lang w:eastAsia="zh-CN"/>
        </w:rPr>
        <w:t>区</w:t>
      </w:r>
      <w:r>
        <w:rPr>
          <w:rFonts w:hint="eastAsia" w:ascii="仿宋_GB2312" w:hAnsi="仿宋_GB2312" w:eastAsia="仿宋_GB2312" w:cs="仿宋_GB2312"/>
          <w:spacing w:val="0"/>
          <w:w w:val="100"/>
          <w:sz w:val="32"/>
          <w:szCs w:val="32"/>
        </w:rPr>
        <w:t>污染天气应急指挥部办公室适时组织对本预案进行修订。</w:t>
      </w:r>
    </w:p>
    <w:p>
      <w:r>
        <w:br w:type="textWrapping"/>
      </w:r>
    </w:p>
    <w:p/>
    <w:p/>
    <w:p/>
    <w:p>
      <w:pPr>
        <w:keepNext w:val="0"/>
        <w:keepLines w:val="0"/>
        <w:pageBreakBefore w:val="0"/>
        <w:widowControl w:val="0"/>
        <w:kinsoku/>
        <w:wordWrap/>
        <w:overflowPunct/>
        <w:topLinePunct w:val="0"/>
        <w:bidi w:val="0"/>
        <w:adjustRightInd/>
        <w:snapToGrid/>
        <w:spacing w:line="500" w:lineRule="exact"/>
        <w:ind w:firstLine="640" w:firstLineChars="200"/>
        <w:jc w:val="center"/>
        <w:textAlignment w:val="auto"/>
        <w:rPr>
          <w:rFonts w:hint="eastAsia" w:ascii="仿宋_GB2312" w:eastAsia="仿宋_GB2312" w:cs="宋体"/>
          <w:spacing w:val="0"/>
          <w:w w:val="100"/>
          <w:kern w:val="0"/>
          <w:sz w:val="32"/>
          <w:szCs w:val="32"/>
          <w:lang w:val="en-US" w:eastAsia="zh-CN"/>
        </w:rPr>
      </w:pPr>
      <w:r>
        <w:rPr>
          <w:rFonts w:hint="eastAsia" w:ascii="仿宋_GB2312" w:eastAsia="仿宋_GB2312" w:cs="宋体"/>
          <w:spacing w:val="0"/>
          <w:w w:val="100"/>
          <w:kern w:val="0"/>
          <w:sz w:val="32"/>
          <w:szCs w:val="32"/>
          <w:lang w:val="en-US" w:eastAsia="zh-CN"/>
        </w:rPr>
        <w:t xml:space="preserve">       柳州市鱼峰生态环境局</w:t>
      </w:r>
    </w:p>
    <w:p>
      <w:pPr>
        <w:keepNext w:val="0"/>
        <w:keepLines w:val="0"/>
        <w:pageBreakBefore w:val="0"/>
        <w:widowControl w:val="0"/>
        <w:kinsoku/>
        <w:wordWrap/>
        <w:overflowPunct/>
        <w:topLinePunct w:val="0"/>
        <w:bidi w:val="0"/>
        <w:adjustRightInd/>
        <w:snapToGrid/>
        <w:spacing w:line="500" w:lineRule="exact"/>
        <w:ind w:firstLine="640" w:firstLineChars="200"/>
        <w:jc w:val="center"/>
        <w:textAlignment w:val="auto"/>
        <w:rPr>
          <w:rFonts w:hint="eastAsia" w:ascii="仿宋_GB2312" w:eastAsia="仿宋_GB2312"/>
          <w:spacing w:val="0"/>
          <w:w w:val="100"/>
          <w:sz w:val="32"/>
          <w:szCs w:val="32"/>
        </w:rPr>
      </w:pPr>
      <w:r>
        <w:rPr>
          <w:rFonts w:hint="eastAsia" w:ascii="仿宋_GB2312" w:eastAsia="仿宋_GB2312" w:cs="宋体"/>
          <w:spacing w:val="0"/>
          <w:w w:val="100"/>
          <w:kern w:val="0"/>
          <w:sz w:val="32"/>
          <w:szCs w:val="32"/>
          <w:lang w:val="en-US" w:eastAsia="zh-CN"/>
        </w:rPr>
        <w:t xml:space="preserve">      2023</w:t>
      </w:r>
      <w:r>
        <w:rPr>
          <w:rFonts w:hint="eastAsia" w:ascii="仿宋_GB2312" w:eastAsia="仿宋_GB2312" w:cs="宋体"/>
          <w:spacing w:val="0"/>
          <w:w w:val="100"/>
          <w:kern w:val="0"/>
          <w:sz w:val="32"/>
          <w:szCs w:val="32"/>
        </w:rPr>
        <w:t>年</w:t>
      </w:r>
      <w:r>
        <w:rPr>
          <w:rFonts w:hint="eastAsia" w:ascii="仿宋_GB2312" w:eastAsia="仿宋_GB2312" w:cs="宋体"/>
          <w:spacing w:val="0"/>
          <w:w w:val="100"/>
          <w:kern w:val="0"/>
          <w:sz w:val="32"/>
          <w:szCs w:val="32"/>
          <w:lang w:val="en-US" w:eastAsia="zh-CN"/>
        </w:rPr>
        <w:t>6</w:t>
      </w:r>
      <w:r>
        <w:rPr>
          <w:rFonts w:hint="eastAsia" w:ascii="仿宋_GB2312" w:eastAsia="仿宋_GB2312" w:cs="宋体"/>
          <w:spacing w:val="0"/>
          <w:w w:val="100"/>
          <w:kern w:val="0"/>
          <w:sz w:val="32"/>
          <w:szCs w:val="32"/>
        </w:rPr>
        <w:t>月</w:t>
      </w:r>
      <w:r>
        <w:rPr>
          <w:rFonts w:hint="eastAsia" w:ascii="仿宋_GB2312" w:eastAsia="仿宋_GB2312" w:cs="宋体"/>
          <w:spacing w:val="0"/>
          <w:w w:val="100"/>
          <w:kern w:val="0"/>
          <w:sz w:val="32"/>
          <w:szCs w:val="32"/>
          <w:lang w:val="en-US" w:eastAsia="zh-CN"/>
        </w:rPr>
        <w:t>20</w:t>
      </w:r>
      <w:r>
        <w:rPr>
          <w:rFonts w:hint="eastAsia" w:ascii="仿宋_GB2312" w:eastAsia="仿宋_GB2312" w:cs="宋体"/>
          <w:spacing w:val="0"/>
          <w:w w:val="100"/>
          <w:kern w:val="0"/>
          <w:sz w:val="32"/>
          <w:szCs w:val="32"/>
        </w:rPr>
        <w:t>日</w:t>
      </w:r>
    </w:p>
    <w:p/>
    <w:p>
      <w:pPr>
        <w:rPr>
          <w:rFonts w:hint="default" w:eastAsia="宋体"/>
          <w:lang w:val="en-US" w:eastAsia="zh-CN"/>
        </w:rPr>
      </w:pPr>
      <w:r>
        <w:rPr>
          <w:rFonts w:hint="eastAsia"/>
          <w:lang w:val="en-US" w:eastAsia="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rdia New">
    <w:panose1 w:val="020B0304020202020204"/>
    <w:charset w:val="00"/>
    <w:family w:val="swiss"/>
    <w:pitch w:val="default"/>
    <w:sig w:usb0="81000003" w:usb1="00000000" w:usb2="00000000" w:usb3="00000000" w:csb0="0001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kMDAwMTAwZGQ2NzZiYzA2OWQ5ZmFjYTE4YjZmMDYifQ=="/>
  </w:docVars>
  <w:rsids>
    <w:rsidRoot w:val="7ED37FE4"/>
    <w:rsid w:val="0252348D"/>
    <w:rsid w:val="244C4D83"/>
    <w:rsid w:val="62AF1999"/>
    <w:rsid w:val="7ED37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ordia New"/>
      <w:kern w:val="2"/>
      <w:sz w:val="21"/>
      <w:szCs w:val="28"/>
      <w:lang w:val="en-US" w:eastAsia="zh-CN" w:bidi="th-TH"/>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06"/>
    </w:pPr>
    <w:rPr>
      <w:rFonts w:ascii="宋体" w:hAnsi="宋体" w:eastAsia="宋体" w:cs="宋体"/>
      <w:sz w:val="32"/>
      <w:szCs w:val="32"/>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cs="Times New Roman"/>
      <w:kern w:val="0"/>
      <w:sz w:val="24"/>
      <w:szCs w:val="24"/>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2019-09-06T03:22:00Z</dcterms:created>
  <dc:creator>kirar</dc:creator>
  <cp:lastModifiedBy>Administrator</cp:lastModifiedBy>
  <cp:lastPrinted>2023-11-09T07:59:59Z</cp:lastPrinted>
  <dcterms:modified xsi:type="dcterms:W3CDTF">2023-11-09T10:04:50Z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2052-11.8.2.12087</vt:lpwstr>
  </property>
  <property fmtid="{D5CDD505-2E9C-101B-9397-08002B2CF9AE}" pid="3" name="ICV">
    <vt:lpwstr>D474884AB93947DE8101854DDC3071AD_12</vt:lpwstr>
  </property>
</Properties>
</file>