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ascii="方正小标宋简体" w:eastAsia="方正小标宋简体"/>
          <w:color w:val="FF0000"/>
          <w:spacing w:val="20"/>
          <w:sz w:val="52"/>
          <w:szCs w:val="52"/>
        </w:rPr>
      </w:pPr>
      <w:r>
        <w:rPr>
          <w:rFonts w:hint="eastAsia" w:ascii="方正小标宋简体" w:eastAsia="方正小标宋简体"/>
          <w:color w:val="FF0000"/>
          <w:spacing w:val="20"/>
          <w:sz w:val="52"/>
          <w:szCs w:val="52"/>
        </w:rPr>
        <w:t>广西壮族自治区柳州市</w:t>
      </w:r>
    </w:p>
    <w:p>
      <w:pPr>
        <w:spacing w:line="800" w:lineRule="exact"/>
        <w:jc w:val="center"/>
        <w:rPr>
          <w:rFonts w:ascii="方正小标宋简体" w:eastAsia="方正小标宋简体"/>
          <w:color w:val="FF0000"/>
          <w:spacing w:val="20"/>
          <w:w w:val="90"/>
          <w:sz w:val="10"/>
          <w:szCs w:val="10"/>
        </w:rPr>
      </w:pPr>
    </w:p>
    <w:p>
      <w:pPr>
        <w:spacing w:line="1000" w:lineRule="exact"/>
        <w:jc w:val="center"/>
        <w:outlineLvl w:val="0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w w:val="90"/>
          <w:sz w:val="96"/>
          <w:szCs w:val="56"/>
        </w:rPr>
        <w:t>鱼峰区人民政府</w:t>
      </w:r>
      <w:r>
        <w:rPr>
          <w:rFonts w:hint="eastAsia" w:ascii="方正小标宋简体" w:eastAsia="方正小标宋简体"/>
          <w:color w:val="FF0000"/>
          <w:spacing w:val="20"/>
          <w:w w:val="90"/>
          <w:sz w:val="96"/>
          <w:szCs w:val="96"/>
        </w:rPr>
        <w:t>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eastAsia="方正小标宋简体"/>
          <w:color w:val="FF0000"/>
          <w:spacing w:val="20"/>
          <w:w w:val="90"/>
          <w:sz w:val="96"/>
          <w:szCs w:val="96"/>
        </w:rPr>
      </w:pPr>
    </w:p>
    <w:p>
      <w:pPr>
        <w:spacing w:line="400" w:lineRule="exact"/>
        <w:ind w:firstLine="155" w:firstLineChars="49"/>
        <w:jc w:val="center"/>
        <w:outlineLvl w:val="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Times New Roman" w:hAnsi="Times New Roman"/>
          <w:color w:val="000000"/>
          <w:sz w:val="32"/>
          <w:szCs w:val="32"/>
        </w:rPr>
        <w:t>鱼府规〔</w:t>
      </w:r>
      <w:r>
        <w:rPr>
          <w:rFonts w:ascii="Times New Roman" w:hAnsi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/>
          <w:color w:val="000000"/>
          <w:spacing w:val="8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/>
          <w:color w:val="000000"/>
          <w:sz w:val="32"/>
          <w:szCs w:val="32"/>
        </w:rPr>
        <w:t>号</w:t>
      </w:r>
    </w:p>
    <w:p>
      <w:pPr>
        <w:spacing w:line="800" w:lineRule="exact"/>
        <w:jc w:val="center"/>
        <w:rPr>
          <w:snapToGrid w:val="0"/>
          <w:kern w:val="0"/>
          <w:szCs w:val="32"/>
        </w:rPr>
      </w:pPr>
      <w:r>
        <mc:AlternateContent>
          <mc:Choice Requires="wps">
            <w:drawing>
              <wp:anchor distT="0" distB="0" distL="114300" distR="114300" simplePos="0" relativeHeight="503315456" behindDoc="1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122555</wp:posOffset>
                </wp:positionV>
                <wp:extent cx="5615940" cy="0"/>
                <wp:effectExtent l="0" t="13970" r="3810" b="24130"/>
                <wp:wrapNone/>
                <wp:docPr id="3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26" o:spt="20" style="position:absolute;left:0pt;margin-left:-1pt;margin-top:9.65pt;height:0pt;width:442.2pt;z-index:-1024;mso-width-relative:page;mso-height-relative:page;" filled="f" stroked="t" coordsize="21600,21600" o:gfxdata="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Fql63W&#10;AAAACAEAAA8AAAAAAAAAAQAgAAAAOAAAAGRycy9kb3ducmV2LnhtbFBLAQIUABQAAAAIAIdO4kC2&#10;uYmc0wEAAI8DAAAOAAAAAAAAAAEAIAAAADs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78" w:lineRule="exact"/>
        <w:jc w:val="center"/>
        <w:outlineLvl w:val="0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</w:t>
      </w:r>
    </w:p>
    <w:p>
      <w:pPr>
        <w:spacing w:line="578" w:lineRule="exact"/>
        <w:jc w:val="center"/>
        <w:outlineLvl w:val="0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印发《</w:t>
      </w:r>
      <w:r>
        <w:rPr>
          <w:rFonts w:hint="eastAsia" w:eastAsia="方正小标宋简体"/>
          <w:spacing w:val="8"/>
          <w:sz w:val="44"/>
          <w:szCs w:val="44"/>
        </w:rPr>
        <w:t>鱼峰区2025年稳经济促发展激励方案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》</w:t>
      </w: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6"/>
        <w:spacing w:after="0" w:line="578" w:lineRule="exact"/>
        <w:jc w:val="center"/>
        <w:rPr>
          <w:rFonts w:ascii="楷体_GB2312" w:eastAsia="楷体_GB2312"/>
          <w:color w:val="0070C0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64" w:firstLineChars="200"/>
        <w:rPr>
          <w:rFonts w:hint="eastAsia"/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</w:rPr>
        <w:t>《鱼峰区2025年稳经济促发展激励方案》已经区人民政府同意，现印发给你们，请认真贯彻落实。</w:t>
      </w:r>
    </w:p>
    <w:p>
      <w:pPr>
        <w:spacing w:line="578" w:lineRule="exact"/>
        <w:ind w:firstLine="664" w:firstLineChars="200"/>
        <w:rPr>
          <w:rFonts w:hint="eastAsia"/>
          <w:color w:val="000000"/>
          <w:spacing w:val="8"/>
          <w:szCs w:val="32"/>
        </w:rPr>
      </w:pPr>
    </w:p>
    <w:p>
      <w:pPr>
        <w:spacing w:line="578" w:lineRule="exact"/>
        <w:ind w:firstLine="664" w:firstLineChars="200"/>
        <w:rPr>
          <w:rFonts w:hint="eastAsia"/>
          <w:color w:val="000000"/>
          <w:spacing w:val="8"/>
          <w:szCs w:val="32"/>
        </w:rPr>
      </w:pPr>
    </w:p>
    <w:p>
      <w:pPr>
        <w:spacing w:line="578" w:lineRule="exact"/>
        <w:ind w:firstLine="664" w:firstLineChars="200"/>
        <w:rPr>
          <w:rFonts w:hint="eastAsia"/>
          <w:color w:val="000000"/>
          <w:spacing w:val="8"/>
          <w:szCs w:val="32"/>
        </w:rPr>
      </w:pPr>
    </w:p>
    <w:p>
      <w:pPr>
        <w:spacing w:line="578" w:lineRule="exact"/>
        <w:ind w:firstLine="4980" w:firstLineChars="15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980" w:firstLineChars="1500"/>
        <w:textAlignment w:val="auto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25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5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27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eastAsia" w:ascii="Times New Roman" w:hAns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（此件</w:t>
      </w:r>
      <w:r>
        <w:rPr>
          <w:rFonts w:hint="eastAsia" w:cs="Times New Roman"/>
          <w:color w:val="auto"/>
          <w:highlight w:val="none"/>
          <w:lang w:val="en-US" w:eastAsia="zh-CN"/>
        </w:rPr>
        <w:t>公开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lang w:eastAsia="zh-CN"/>
        </w:rPr>
        <w:br w:type="page"/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lang w:eastAsia="zh-CN"/>
        </w:rPr>
        <w:t>鱼峰区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lang w:val="en-US" w:eastAsia="zh-CN"/>
        </w:rPr>
        <w:t>2025年稳经济促发展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  <w:lang w:eastAsia="zh-CN"/>
        </w:rPr>
        <w:t>激励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8"/>
          <w:highlight w:val="none"/>
        </w:rPr>
        <w:t>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贯彻落实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中央、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自治区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柳州市关于经济工作的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决策部署，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据《优化营商环境条例》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《自治区工业和信息化厅、自治区财政厅关于组织申报推动工业经济实现2025年一季度“开门红”政策补助资金的通知》以及《柳州市工业和信息化局关于组织申报柳州市2025年一季度推动工业稳增长政策补助资金的通知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牢固树立“实干为要、创新为魂，用业绩说话，让人民评价”的鲜明导向，加快构建我区“两区三基地”发展格局，不断稳存量、拓增量，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全力推动经济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回稳向好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进一步优化营商环境，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奋力实现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“开门红”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和全年经济发展预期目标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现制定稳经济促发展激励方案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激励标准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5"/>
          <w:rFonts w:hint="default" w:ascii="Times New Roman" w:hAnsi="Times New Roman" w:cs="Times New Roman"/>
          <w:lang w:val="en-US" w:eastAsia="zh-CN"/>
        </w:rPr>
        <w:t>（一）行业引领奖。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发挥卓越引领作用，引领行业技术发展方向，推动行业进步的企业。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1.工业企业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2025年一季度产值增速较去年同期增长9%以上，且2025年一季度产值不低于1亿元，奖励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或产值不低于4000万元至小于1亿元，奖励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2025年全年产值增速较去年同期增长9%以上，且全年产值不低于4亿元，奖励6万元；或产值不低于1.6亿至小于4亿元，奖励5万元。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2.批发业企业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一季度销售额达到3亿元以上，增速较去年同期相比正增长（含持平，下同），奖励3万元；或本年一季度累计值环比降幅收窄10个点及以上，奖励1万元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全年销售额达到12亿元以上，全年同期相比降幅收窄10个点及以上，奖励5万元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3.零售业企业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2025年一季度销售额达到3.5亿元，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正增长，奖励3万元；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2025年全年销售额达到14亿元，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奖励5万元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4.餐饮业企业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2025年一季度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达到1000万元，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正增长，奖励1.5万元；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达到4000万元，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正增长，奖励3万元。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5.其他营利性服务业企业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2025年一季度营收达到3000万元，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2025年全年营收达到1.2亿元，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正增长，奖励3万元。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6.建筑业企业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2025年一季度产值不低于6000万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正增长，奖励1万元；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2025年全年产值不低于2亿元，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5"/>
          <w:rFonts w:hint="default" w:ascii="Times New Roman" w:hAnsi="Times New Roman" w:cs="Times New Roman"/>
          <w:lang w:val="en-US" w:eastAsia="zh-CN"/>
        </w:rPr>
        <w:t>（二）平稳发展奖。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始终保持稳定发展态势，为行业平稳前行做出突出贡献的企业。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1.工业企业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2025年一季度产值不低于6000万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增速较去年同期正增长，奖励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2025年全年产值不低于2.4亿元，且增速较去年同期正增长，奖励5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2.批发业企业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一季度销售额达到1亿元，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正增长，奖励2万元，或本年一季度累计值环比降幅有所收窄，奖励1万元；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2025年全年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销售额达到4亿元，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正增长，奖励3万元，或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全年同期相比降幅收窄10个点，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奖励2万元。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3.零售业企业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一季度销售额达到1亿元，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正增长，奖励2万元，或本年一季度累计值环比降幅收窄10个点，奖励1万元；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全年销售额达到4亿元，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正增长，奖励3万元，或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全年同期相比降幅收窄10个点，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奖励2万元。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4.餐饮业企业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达到800万元，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增长5%以上，奖励1万元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达到3200万元，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增速较去年同期相比增长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5%以上，奖励2万元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5.其他营利性服务业企业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一季度营收达到2000万元，增速较去年同期相比增长10%以上，奖励1.5万元；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全年营收达到8000万元，增速较去年同期相比增长10%以上，奖励2万元。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15"/>
          <w:rFonts w:hint="default" w:ascii="Times New Roman" w:hAnsi="Times New Roman" w:cs="Times New Roman"/>
          <w:lang w:val="en-US" w:eastAsia="zh-CN"/>
        </w:rPr>
        <w:t>（三）追求进步奖。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能提前预判风险，始终积极进取、努力突破的企业。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1.工业企业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2025年一季度总产值不低于7500万</w:t>
      </w: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，且产值增速较去年同期收窄在-5%至0%奖励3万元，-5%至-10%奖励2万元；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2025年全年产值不低于3亿元，且产值增速较去年同期收窄在-3%至-0%奖励3.5万元，收窄在-5%至-3%奖励2.5万元。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一季度产值低于7500万元，按照总量40％增速60％的功效系数法计算排名前三，一次性奖励8000元；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全年产值低于3亿元的工业企业，按照总量40％增速60％的功效系数法计算排名前三的，一次性奖励1万元。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2.批发业企业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一季度销售额达到5000万元，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正增长，奖励1万元，或本年一季度累计值环比降幅收窄10个点，奖励0.5万元；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全年销售额达到2亿元，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正增长，奖励2万元，或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全年同期相比降幅收窄10个点，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奖励1万元。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一季度销售额低于5000万元，按照总量80％增速20％的功效系数法，且增速为正增长，计算排名前三，一次性奖励3000元；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全年销售额低于2亿元的批发业企业，按照总量80％增速20％的功效系数法，且增速为正增长，计算排名前三，一次性奖励5000元。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3.零售业企业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一季度销售额达到8000万元，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正增长，奖励1万元，或本年一季度累计值环比降幅收窄10个点，奖励0.5万元；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全年销售额达到3亿元，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正增长，奖励2万元。或全年同比降幅收窄10个点，奖励1万元。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一季度销售额低于8000万元，按照总量80％增速20％的功效系数法，且增速为正增长，计算排名前三，一次性奖励3000元；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全年销售额低于3亿元的零售业企业，按照总量80％增速20％的功效系数法，且增速为正增长，计算排名前三，一次性奖励5000元。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4.餐饮业企业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达到600万元，累计值环比增长10%以上，奖励0.5万元；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营收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达到2400万元，与去年同期相比增长10%以上，奖励1万元。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销售额低于600万元，按照总量80％增速20％的功效系数法，且增速为正增长，计算排名前三，一次性奖励2000元；2025年全年营收低于2400万元的餐饮业企业，按照总量80％增速20％的功效系数法，且增速为正增长，计算排名前三，一次性奖励3000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5.其他营利性服务业企业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、房地产业企业、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多式联运和运输代理业、装卸搬运和仓储业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企业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一季度（1-2月）营收达到1500万元，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增长15%以上，奖励1.2万元；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全年（1-11月）营收达到6000万元，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增速较去年同期相比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增长15%以上，奖励1.5万元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销售额低于1500万元，按照总量80％增速20％的功效系数法，且增速为正增长，计算排名前三，一次性奖励3000元；2025年全年营收低于6000万元的其他营利性服务业企业，按照总量80％增速20％的功效系数法，且增速为正增长，计算排名前三，一次性奖励5000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信息传输、软件和信息技术服务业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租赁和商务服务业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居民服务、修理和其他服务业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科学研究和技术服务业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水利、环境和公共设施管理业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、文化体育和娱乐业、房地产业、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多式联运和运输代理业、装卸搬运和仓储业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等行业企业对所属行业增长每拉动10个百分点，奖励1万元，最高奖励不超过5万元。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Style w:val="15"/>
          <w:rFonts w:hint="default" w:ascii="Times New Roman" w:hAnsi="Times New Roman" w:cs="Times New Roman"/>
          <w:lang w:val="en-US" w:eastAsia="zh-CN"/>
        </w:rPr>
      </w:pPr>
      <w:r>
        <w:rPr>
          <w:rStyle w:val="15"/>
          <w:rFonts w:hint="default" w:ascii="Times New Roman" w:hAnsi="Times New Roman" w:cs="Times New Roman"/>
          <w:lang w:val="en-US" w:eastAsia="zh-CN"/>
        </w:rPr>
        <w:t>（四）项目领航奖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投资项目：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对全年同比增量超2000万以上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符合相关产业政策、发展规划，项目投资许可、土地、环保、节能等手续完善且不属于各级政府平台公司及其下属公司的，一次性奖励1万元，或2025年在辖区内新开发地块，全年投资额超5000万以上的房地产企业，一次性奖励1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房地产销售面积：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2025年一季度房地产面积销售面积超过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0.5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万㎡，或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房地产面积销售面积超过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一次性奖励2万元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激励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资金来源与发放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5"/>
          <w:rFonts w:hint="default"/>
          <w:lang w:eastAsia="zh-CN"/>
        </w:rPr>
        <w:t>（一）</w:t>
      </w:r>
      <w:r>
        <w:rPr>
          <w:rStyle w:val="15"/>
          <w:rFonts w:hint="default"/>
        </w:rPr>
        <w:t>资金来源：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本政策措施涉及的奖补资金总量按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万元控制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奖补资金纳入鱼峰区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财政预算，由财政部门统筹安排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以上具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体奖励金额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根据财政收支情况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待定。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5"/>
          <w:rFonts w:hint="default" w:ascii="Times New Roman" w:hAnsi="Times New Roman" w:cs="Times New Roman"/>
          <w:lang w:eastAsia="zh-CN"/>
        </w:rPr>
        <w:t>（二）发放：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根据各行业对鱼峰区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2025年一季度及全年经济稳增长的贡献情况（增量、增速），鱼峰区发改局、鱼峰区工信局、鱼峰区商务局、鱼峰区住建局会同鱼峰区财政局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加快兑现财政奖补资金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奖补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资金应专项用于企业发展、项目建设、科技创新等方面。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附 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（一）当年有下列情形之一者，不予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扶持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奖励：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1．被列入失信“黑名单”的；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2．有偷税、逃税、抗税、骗税等违反税法行为的；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3．发生劳资纠纷并造成严重不良社会影响的；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4．发生环保、安全等较大以上责任事故的；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5．发生重大刑事案件、群体性上访事件的；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6．有其他违反法律法规或相关政策行为的。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（二）以上所有激励单个企业一季度、全年各可享受一次，政策按照就高不就低的原则。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统计周期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2025年1月1日至2025年12月31日，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方案自印发之日起开始实施。</w:t>
      </w: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rPr>
          <w:snapToGrid w:val="0"/>
          <w:spacing w:val="8"/>
          <w:kern w:val="0"/>
          <w:sz w:val="36"/>
          <w:szCs w:val="36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rPr>
          <w:sz w:val="34"/>
          <w:szCs w:val="34"/>
        </w:rPr>
      </w:pPr>
    </w:p>
    <w:p>
      <w:pPr>
        <w:spacing w:line="578" w:lineRule="exact"/>
        <w:ind w:firstLine="276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79.4pt;margin-top:714.35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Ty&#10;DkHaAAAADgEAAA8AAAAAAAAAAQAgAAAAOAAAAGRycy9kb3ducmV2LnhtbFBLAQIUABQAAAAIAIdO&#10;4kAgDPB20gEAAJkDAAAOAAAAAAAAAAEAIAAAAD8BAABkcnMvZTJvRG9jLnhtbFBLBQYAAAAABgAG&#10;AFkBAACD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79.4pt;margin-top:742.8pt;height:0pt;width:442.2pt;mso-position-horizontal-relative:page;mso-position-vertical-relative:page;z-index:1024;mso-width-relative:page;mso-height-relative:page;" filled="f" stroked="t" coordsize="21600,21600" o:gfxdata="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r&#10;nJKM2gAAAA4BAAAPAAAAAAAAAAEAIAAAADgAAABkcnMvZG93bnJldi54bWxQSwECFAAUAAAACACH&#10;TuJA+UkIY9MBAACZAwAADgAAAAAAAAABACAAAAA/AQAAZHJzL2Uyb0RvYy54bWxQSwUGAAAAAAYA&#10;BgBZAQAAh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19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280" w:firstLineChars="1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9"/>
        <w:rFonts w:ascii="宋体" w:hAnsi="宋体" w:eastAsia="宋体" w:cs="宋体"/>
        <w:sz w:val="28"/>
        <w:szCs w:val="28"/>
      </w:rPr>
      <w:fldChar w:fldCharType="begin"/>
    </w:r>
    <w:r>
      <w:rPr>
        <w:rStyle w:val="9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9"/>
        <w:rFonts w:ascii="宋体" w:hAnsi="宋体" w:eastAsia="宋体" w:cs="宋体"/>
        <w:sz w:val="28"/>
        <w:szCs w:val="28"/>
      </w:rPr>
      <w:fldChar w:fldCharType="separate"/>
    </w:r>
    <w:r>
      <w:rPr>
        <w:rStyle w:val="9"/>
        <w:rFonts w:ascii="宋体" w:hAnsi="宋体" w:eastAsia="宋体" w:cs="宋体"/>
        <w:sz w:val="28"/>
        <w:szCs w:val="28"/>
      </w:rPr>
      <w:t>20</w:t>
    </w:r>
    <w:r>
      <w:rPr>
        <w:rStyle w:val="9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A282430"/>
    <w:rsid w:val="0E57182E"/>
    <w:rsid w:val="179D56C1"/>
    <w:rsid w:val="1F991545"/>
    <w:rsid w:val="2309100C"/>
    <w:rsid w:val="2DB17CA6"/>
    <w:rsid w:val="3B8233A0"/>
    <w:rsid w:val="3F1D523A"/>
    <w:rsid w:val="403B486A"/>
    <w:rsid w:val="40F23AF0"/>
    <w:rsid w:val="42C4057F"/>
    <w:rsid w:val="48E30FE7"/>
    <w:rsid w:val="4F7C65F9"/>
    <w:rsid w:val="52EF3C63"/>
    <w:rsid w:val="575B04CA"/>
    <w:rsid w:val="5F8A53D2"/>
    <w:rsid w:val="7AA3233F"/>
    <w:rsid w:val="7BBF933E"/>
    <w:rsid w:val="7C8758FA"/>
    <w:rsid w:val="FDCA75A6"/>
    <w:rsid w:val="FE7B3946"/>
    <w:rsid w:val="FFE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locked/>
    <w:uiPriority w:val="0"/>
    <w:pPr>
      <w:keepNext/>
      <w:keepLines/>
      <w:spacing w:beforeLines="0" w:beforeAutospacing="0" w:afterLines="0" w:afterAutospacing="0" w:line="578" w:lineRule="exact"/>
      <w:ind w:firstLine="1704" w:firstLineChars="200"/>
      <w:outlineLvl w:val="2"/>
    </w:pPr>
    <w:rPr>
      <w:rFonts w:ascii="Times New Roman" w:hAnsi="Times New Roman" w:eastAsia="楷体_GB2312" w:cs="Times New Roman"/>
      <w:b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99"/>
    <w:rPr>
      <w:sz w:val="30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3"/>
    <w:qFormat/>
    <w:uiPriority w:val="99"/>
    <w:pPr>
      <w:spacing w:after="120" w:line="480" w:lineRule="auto"/>
    </w:p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正文文本 Char"/>
    <w:link w:val="3"/>
    <w:semiHidden/>
    <w:qFormat/>
    <w:uiPriority w:val="99"/>
    <w:rPr>
      <w:rFonts w:eastAsia="仿宋_GB2312"/>
      <w:sz w:val="32"/>
      <w:szCs w:val="24"/>
    </w:rPr>
  </w:style>
  <w:style w:type="character" w:customStyle="1" w:styleId="11">
    <w:name w:val="页脚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3">
    <w:name w:val="正文文本 2 Char"/>
    <w:link w:val="6"/>
    <w:semiHidden/>
    <w:qFormat/>
    <w:uiPriority w:val="99"/>
    <w:rPr>
      <w:rFonts w:eastAsia="仿宋_GB2312"/>
      <w:sz w:val="32"/>
      <w:szCs w:val="24"/>
    </w:rPr>
  </w:style>
  <w:style w:type="paragraph" w:customStyle="1" w:styleId="14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  <w:style w:type="character" w:customStyle="1" w:styleId="15">
    <w:name w:val="标题 3 Char"/>
    <w:link w:val="2"/>
    <w:qFormat/>
    <w:uiPriority w:val="0"/>
    <w:rPr>
      <w:rFonts w:ascii="Times New Roman" w:hAnsi="Times New Roman" w:eastAsia="楷体_GB2312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20</Pages>
  <Words>765</Words>
  <Characters>4361</Characters>
  <Lines>36</Lines>
  <Paragraphs>10</Paragraphs>
  <TotalTime>13</TotalTime>
  <ScaleCrop>false</ScaleCrop>
  <LinksUpToDate>false</LinksUpToDate>
  <CharactersWithSpaces>5116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2019-07-15T06:41:00Z</dcterms:created>
  <dc:creator>Administrator</dc:creator>
  <cp:lastModifiedBy>政府办</cp:lastModifiedBy>
  <cp:lastPrinted>2025-05-29T01:45:00Z</cp:lastPrinted>
  <dcterms:modified xsi:type="dcterms:W3CDTF">2025-06-04T16:01:26Z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