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C9578">
      <w:pPr>
        <w:keepNext w:val="0"/>
        <w:keepLines w:val="0"/>
        <w:pageBreakBefore w:val="0"/>
        <w:widowControl w:val="0"/>
        <w:kinsoku/>
        <w:wordWrap/>
        <w:overflowPunct/>
        <w:topLinePunct w:val="0"/>
        <w:autoSpaceDE/>
        <w:autoSpaceDN/>
        <w:bidi w:val="0"/>
        <w:adjustRightInd/>
        <w:snapToGrid/>
        <w:spacing w:line="240" w:lineRule="auto"/>
        <w:ind w:right="1218" w:rightChars="580"/>
        <w:jc w:val="distribute"/>
        <w:textAlignment w:val="auto"/>
        <w:rPr>
          <w:rFonts w:hint="eastAsia" w:ascii="方正大标宋简体" w:hAnsi="方正大标宋简体" w:eastAsia="方正大标宋简体" w:cs="方正大标宋简体"/>
          <w:color w:val="FF0000"/>
          <w:sz w:val="56"/>
          <w:szCs w:val="56"/>
          <w:lang w:eastAsia="zh-CN"/>
        </w:rPr>
      </w:pPr>
      <w:r>
        <w:rPr>
          <w:rFonts w:hint="eastAsia" w:ascii="方正大标宋简体" w:hAnsi="方正大标宋简体" w:eastAsia="方正大标宋简体" w:cs="方正大标宋简体"/>
          <w:color w:val="FF0000"/>
          <w:sz w:val="56"/>
          <w:szCs w:val="56"/>
        </w:rPr>
        <mc:AlternateContent>
          <mc:Choice Requires="wps">
            <w:drawing>
              <wp:anchor distT="0" distB="0" distL="114300" distR="114300" simplePos="0" relativeHeight="251660288" behindDoc="0" locked="0" layoutInCell="1" allowOverlap="1">
                <wp:simplePos x="0" y="0"/>
                <wp:positionH relativeFrom="column">
                  <wp:posOffset>4979035</wp:posOffset>
                </wp:positionH>
                <wp:positionV relativeFrom="paragraph">
                  <wp:posOffset>487045</wp:posOffset>
                </wp:positionV>
                <wp:extent cx="1273175" cy="86042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273175" cy="766445"/>
                        </a:xfrm>
                        <a:prstGeom prst="rect">
                          <a:avLst/>
                        </a:prstGeom>
                        <a:noFill/>
                        <a:ln w="6350">
                          <a:noFill/>
                        </a:ln>
                        <a:effectLst/>
                      </wps:spPr>
                      <wps:txbx>
                        <w:txbxContent>
                          <w:p w14:paraId="5836FFD3">
                            <w:pPr>
                              <w:rPr>
                                <w:b/>
                                <w:bCs/>
                                <w:color w:val="000000"/>
                                <w:sz w:val="72"/>
                                <w:szCs w:val="72"/>
                              </w:rPr>
                            </w:pPr>
                            <w:r>
                              <w:rPr>
                                <w:rFonts w:hint="eastAsia" w:ascii="方正大标宋简体" w:hAnsi="方正大标宋简体" w:eastAsia="方正大标宋简体" w:cs="方正大标宋简体"/>
                                <w:b w:val="0"/>
                                <w:bCs w:val="0"/>
                                <w:color w:val="FF0000"/>
                                <w:sz w:val="72"/>
                                <w:szCs w:val="72"/>
                              </w:rPr>
                              <w:t>文</w:t>
                            </w:r>
                            <w:r>
                              <w:rPr>
                                <w:rFonts w:hint="eastAsia" w:ascii="方正大标宋简体" w:hAnsi="方正大标宋简体" w:eastAsia="方正大标宋简体" w:cs="方正大标宋简体"/>
                                <w:b w:val="0"/>
                                <w:bCs w:val="0"/>
                                <w:color w:val="FF0000"/>
                                <w:sz w:val="72"/>
                                <w:szCs w:val="72"/>
                                <w:lang w:val="en-US" w:eastAsia="zh-CN"/>
                              </w:rPr>
                              <w:t>件</w:t>
                            </w:r>
                            <w:r>
                              <w:rPr>
                                <w:rFonts w:hint="eastAsia" w:ascii="方正小标宋简体" w:hAnsi="方正小标宋简体" w:eastAsia="方正小标宋简体" w:cs="方正小标宋简体"/>
                                <w:b w:val="0"/>
                                <w:bCs w:val="0"/>
                                <w:color w:val="FF0000"/>
                                <w:sz w:val="72"/>
                                <w:szCs w:val="72"/>
                                <w:lang w:val="en-US" w:eastAsia="zh-CN"/>
                              </w:rPr>
                              <w:t>件</w:t>
                            </w:r>
                            <w:r>
                              <w:rPr>
                                <w:rFonts w:hint="eastAsia" w:ascii="方正小标宋简体" w:hAnsi="方正小标宋简体" w:eastAsia="方正小标宋简体" w:cs="方正小标宋简体"/>
                                <w:b w:val="0"/>
                                <w:bCs w:val="0"/>
                                <w:color w:val="FF0000"/>
                                <w:sz w:val="72"/>
                                <w:szCs w:val="72"/>
                              </w:rPr>
                              <w:t>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2.05pt;margin-top:38.35pt;height:67.75pt;width:100.25pt;z-index:251660288;mso-width-relative:page;mso-height-relative:page;" filled="f" stroked="f" coordsize="21600,21600" o:gfxdata="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Qn9CiNwAAAAKAQAADwAAAAAAAAABACAA&#10;AAAiAAAAZHJzL2Rvd25yZXYueG1sUEsBAhQAFAAAAAgAh07iQBL4cmxCAgAAdAQAAA4AAAAAAAAA&#10;AQAgAAAAKwEAAGRycy9lMm9Eb2MueG1sUEsFBgAAAAAGAAYAWQEAAN8FAAAAAA==&#10;">
                <v:fill on="f" focussize="0,0"/>
                <v:stroke on="f" weight="0.5pt"/>
                <v:imagedata o:title=""/>
                <o:lock v:ext="edit" aspectratio="f"/>
                <v:textbox>
                  <w:txbxContent>
                    <w:p w14:paraId="5836FFD3">
                      <w:pPr>
                        <w:rPr>
                          <w:b/>
                          <w:bCs/>
                          <w:color w:val="000000"/>
                          <w:sz w:val="72"/>
                          <w:szCs w:val="72"/>
                        </w:rPr>
                      </w:pPr>
                      <w:r>
                        <w:rPr>
                          <w:rFonts w:hint="eastAsia" w:ascii="方正大标宋简体" w:hAnsi="方正大标宋简体" w:eastAsia="方正大标宋简体" w:cs="方正大标宋简体"/>
                          <w:b w:val="0"/>
                          <w:bCs w:val="0"/>
                          <w:color w:val="FF0000"/>
                          <w:sz w:val="72"/>
                          <w:szCs w:val="72"/>
                        </w:rPr>
                        <w:t>文</w:t>
                      </w:r>
                      <w:r>
                        <w:rPr>
                          <w:rFonts w:hint="eastAsia" w:ascii="方正大标宋简体" w:hAnsi="方正大标宋简体" w:eastAsia="方正大标宋简体" w:cs="方正大标宋简体"/>
                          <w:b w:val="0"/>
                          <w:bCs w:val="0"/>
                          <w:color w:val="FF0000"/>
                          <w:sz w:val="72"/>
                          <w:szCs w:val="72"/>
                          <w:lang w:val="en-US" w:eastAsia="zh-CN"/>
                        </w:rPr>
                        <w:t>件</w:t>
                      </w:r>
                      <w:r>
                        <w:rPr>
                          <w:rFonts w:hint="eastAsia" w:ascii="方正小标宋简体" w:hAnsi="方正小标宋简体" w:eastAsia="方正小标宋简体" w:cs="方正小标宋简体"/>
                          <w:b w:val="0"/>
                          <w:bCs w:val="0"/>
                          <w:color w:val="FF0000"/>
                          <w:sz w:val="72"/>
                          <w:szCs w:val="72"/>
                          <w:lang w:val="en-US" w:eastAsia="zh-CN"/>
                        </w:rPr>
                        <w:t>件</w:t>
                      </w:r>
                      <w:r>
                        <w:rPr>
                          <w:rFonts w:hint="eastAsia" w:ascii="方正小标宋简体" w:hAnsi="方正小标宋简体" w:eastAsia="方正小标宋简体" w:cs="方正小标宋简体"/>
                          <w:b w:val="0"/>
                          <w:bCs w:val="0"/>
                          <w:color w:val="FF0000"/>
                          <w:sz w:val="72"/>
                          <w:szCs w:val="72"/>
                        </w:rPr>
                        <w:t>件</w:t>
                      </w:r>
                    </w:p>
                  </w:txbxContent>
                </v:textbox>
              </v:shape>
            </w:pict>
          </mc:Fallback>
        </mc:AlternateContent>
      </w:r>
      <w:r>
        <w:rPr>
          <w:rFonts w:hint="eastAsia" w:ascii="方正大标宋简体" w:hAnsi="方正大标宋简体" w:eastAsia="方正大标宋简体" w:cs="方正大标宋简体"/>
          <w:color w:val="FF0000"/>
          <w:sz w:val="56"/>
          <w:szCs w:val="56"/>
          <w:lang w:eastAsia="zh-CN"/>
        </w:rPr>
        <w:t>鱼峰区人力资源和社会保障局</w:t>
      </w:r>
    </w:p>
    <w:p w14:paraId="65923E8C">
      <w:pPr>
        <w:keepNext w:val="0"/>
        <w:keepLines w:val="0"/>
        <w:pageBreakBefore w:val="0"/>
        <w:widowControl w:val="0"/>
        <w:kinsoku/>
        <w:wordWrap/>
        <w:overflowPunct/>
        <w:topLinePunct w:val="0"/>
        <w:autoSpaceDE/>
        <w:autoSpaceDN/>
        <w:bidi w:val="0"/>
        <w:adjustRightInd/>
        <w:snapToGrid/>
        <w:spacing w:line="240" w:lineRule="auto"/>
        <w:ind w:right="1218" w:rightChars="580"/>
        <w:jc w:val="distribute"/>
        <w:textAlignment w:val="auto"/>
        <w:rPr>
          <w:rFonts w:hint="eastAsia" w:ascii="方正大标宋简体" w:hAnsi="方正大标宋简体" w:eastAsia="方正大标宋简体" w:cs="方正大标宋简体"/>
          <w:color w:val="FF0000"/>
          <w:sz w:val="56"/>
          <w:szCs w:val="56"/>
        </w:rPr>
      </w:pPr>
      <w:r>
        <w:rPr>
          <w:rFonts w:hint="eastAsia" w:ascii="方正大标宋简体" w:hAnsi="方正大标宋简体" w:eastAsia="方正大标宋简体" w:cs="方正大标宋简体"/>
          <w:color w:val="FF0000"/>
          <w:sz w:val="56"/>
          <w:szCs w:val="56"/>
        </w:rPr>
        <w:t>鱼</w:t>
      </w:r>
      <w:r>
        <w:rPr>
          <w:rFonts w:hint="eastAsia" w:ascii="方正大标宋简体" w:hAnsi="方正大标宋简体" w:eastAsia="方正大标宋简体" w:cs="方正大标宋简体"/>
          <w:color w:val="FF0000"/>
          <w:sz w:val="56"/>
          <w:szCs w:val="56"/>
          <w:lang w:val="en-US" w:eastAsia="zh-CN"/>
        </w:rPr>
        <w:t xml:space="preserve">  </w:t>
      </w:r>
      <w:r>
        <w:rPr>
          <w:rFonts w:hint="eastAsia" w:ascii="方正大标宋简体" w:hAnsi="方正大标宋简体" w:eastAsia="方正大标宋简体" w:cs="方正大标宋简体"/>
          <w:color w:val="FF0000"/>
          <w:sz w:val="56"/>
          <w:szCs w:val="56"/>
        </w:rPr>
        <w:t>峰</w:t>
      </w:r>
      <w:r>
        <w:rPr>
          <w:rFonts w:hint="eastAsia" w:ascii="方正大标宋简体" w:hAnsi="方正大标宋简体" w:eastAsia="方正大标宋简体" w:cs="方正大标宋简体"/>
          <w:color w:val="FF0000"/>
          <w:sz w:val="56"/>
          <w:szCs w:val="56"/>
          <w:lang w:val="en-US" w:eastAsia="zh-CN"/>
        </w:rPr>
        <w:t xml:space="preserve">  </w:t>
      </w:r>
      <w:r>
        <w:rPr>
          <w:rFonts w:hint="eastAsia" w:ascii="方正大标宋简体" w:hAnsi="方正大标宋简体" w:eastAsia="方正大标宋简体" w:cs="方正大标宋简体"/>
          <w:color w:val="FF0000"/>
          <w:sz w:val="56"/>
          <w:szCs w:val="56"/>
        </w:rPr>
        <w:t>区</w:t>
      </w:r>
      <w:r>
        <w:rPr>
          <w:rFonts w:hint="eastAsia" w:ascii="方正大标宋简体" w:hAnsi="方正大标宋简体" w:eastAsia="方正大标宋简体" w:cs="方正大标宋简体"/>
          <w:color w:val="FF0000"/>
          <w:sz w:val="56"/>
          <w:szCs w:val="56"/>
          <w:lang w:val="en-US" w:eastAsia="zh-CN"/>
        </w:rPr>
        <w:t xml:space="preserve">  </w:t>
      </w:r>
      <w:r>
        <w:rPr>
          <w:rFonts w:hint="eastAsia" w:ascii="方正大标宋简体" w:hAnsi="方正大标宋简体" w:eastAsia="方正大标宋简体" w:cs="方正大标宋简体"/>
          <w:color w:val="FF0000"/>
          <w:sz w:val="56"/>
          <w:szCs w:val="56"/>
        </w:rPr>
        <w:t>财</w:t>
      </w:r>
      <w:r>
        <w:rPr>
          <w:rFonts w:hint="eastAsia" w:ascii="方正大标宋简体" w:hAnsi="方正大标宋简体" w:eastAsia="方正大标宋简体" w:cs="方正大标宋简体"/>
          <w:color w:val="FF0000"/>
          <w:sz w:val="56"/>
          <w:szCs w:val="56"/>
          <w:lang w:val="en-US" w:eastAsia="zh-CN"/>
        </w:rPr>
        <w:t xml:space="preserve">  </w:t>
      </w:r>
      <w:r>
        <w:rPr>
          <w:rFonts w:hint="eastAsia" w:ascii="方正大标宋简体" w:hAnsi="方正大标宋简体" w:eastAsia="方正大标宋简体" w:cs="方正大标宋简体"/>
          <w:color w:val="FF0000"/>
          <w:sz w:val="56"/>
          <w:szCs w:val="56"/>
        </w:rPr>
        <w:t>政</w:t>
      </w:r>
      <w:r>
        <w:rPr>
          <w:rFonts w:hint="eastAsia" w:ascii="方正大标宋简体" w:hAnsi="方正大标宋简体" w:eastAsia="方正大标宋简体" w:cs="方正大标宋简体"/>
          <w:color w:val="FF0000"/>
          <w:sz w:val="56"/>
          <w:szCs w:val="56"/>
          <w:lang w:val="en-US" w:eastAsia="zh-CN"/>
        </w:rPr>
        <w:t xml:space="preserve">  </w:t>
      </w:r>
      <w:r>
        <w:rPr>
          <w:rFonts w:hint="eastAsia" w:ascii="方正大标宋简体" w:hAnsi="方正大标宋简体" w:eastAsia="方正大标宋简体" w:cs="方正大标宋简体"/>
          <w:color w:val="FF0000"/>
          <w:sz w:val="56"/>
          <w:szCs w:val="56"/>
        </w:rPr>
        <w:t>局</w:t>
      </w:r>
    </w:p>
    <w:p w14:paraId="667B6A9E">
      <w:pPr>
        <w:keepNext w:val="0"/>
        <w:keepLines w:val="0"/>
        <w:pageBreakBefore w:val="0"/>
        <w:widowControl w:val="0"/>
        <w:kinsoku/>
        <w:wordWrap/>
        <w:overflowPunct/>
        <w:topLinePunct w:val="0"/>
        <w:autoSpaceDE/>
        <w:autoSpaceDN/>
        <w:bidi w:val="0"/>
        <w:adjustRightInd/>
        <w:snapToGrid/>
        <w:spacing w:line="240" w:lineRule="auto"/>
        <w:ind w:right="1218" w:rightChars="580"/>
        <w:jc w:val="distribute"/>
        <w:textAlignment w:val="auto"/>
        <w:rPr>
          <w:rFonts w:hint="eastAsia" w:ascii="方正大标宋简体" w:hAnsi="方正大标宋简体" w:eastAsia="方正大标宋简体" w:cs="方正大标宋简体"/>
          <w:color w:val="FF0000"/>
          <w:sz w:val="56"/>
          <w:szCs w:val="56"/>
          <w:lang w:eastAsia="zh-CN"/>
        </w:rPr>
      </w:pPr>
      <w:r>
        <w:rPr>
          <w:rFonts w:hint="eastAsia" w:ascii="方正大标宋简体" w:hAnsi="方正大标宋简体" w:eastAsia="方正大标宋简体" w:cs="方正大标宋简体"/>
          <w:color w:val="FF0000"/>
          <w:sz w:val="56"/>
          <w:szCs w:val="56"/>
        </w:rPr>
        <w:t>鱼</w:t>
      </w:r>
      <w:r>
        <w:rPr>
          <w:rFonts w:hint="eastAsia" w:ascii="方正大标宋简体" w:hAnsi="方正大标宋简体" w:eastAsia="方正大标宋简体" w:cs="方正大标宋简体"/>
          <w:color w:val="FF0000"/>
          <w:sz w:val="56"/>
          <w:szCs w:val="56"/>
          <w:lang w:val="en-US" w:eastAsia="zh-CN"/>
        </w:rPr>
        <w:t xml:space="preserve"> </w:t>
      </w:r>
      <w:r>
        <w:rPr>
          <w:rFonts w:hint="eastAsia" w:ascii="方正大标宋简体" w:hAnsi="方正大标宋简体" w:eastAsia="方正大标宋简体" w:cs="方正大标宋简体"/>
          <w:color w:val="FF0000"/>
          <w:sz w:val="56"/>
          <w:szCs w:val="56"/>
        </w:rPr>
        <w:t>峰</w:t>
      </w:r>
      <w:r>
        <w:rPr>
          <w:rFonts w:hint="eastAsia" w:ascii="方正大标宋简体" w:hAnsi="方正大标宋简体" w:eastAsia="方正大标宋简体" w:cs="方正大标宋简体"/>
          <w:color w:val="FF0000"/>
          <w:sz w:val="56"/>
          <w:szCs w:val="56"/>
          <w:lang w:val="en-US" w:eastAsia="zh-CN"/>
        </w:rPr>
        <w:t xml:space="preserve"> </w:t>
      </w:r>
      <w:r>
        <w:rPr>
          <w:rFonts w:hint="eastAsia" w:ascii="方正大标宋简体" w:hAnsi="方正大标宋简体" w:eastAsia="方正大标宋简体" w:cs="方正大标宋简体"/>
          <w:color w:val="FF0000"/>
          <w:sz w:val="56"/>
          <w:szCs w:val="56"/>
        </w:rPr>
        <w:t>区</w:t>
      </w:r>
      <w:r>
        <w:rPr>
          <w:rFonts w:hint="eastAsia" w:ascii="方正大标宋简体" w:hAnsi="方正大标宋简体" w:eastAsia="方正大标宋简体" w:cs="方正大标宋简体"/>
          <w:color w:val="FF0000"/>
          <w:sz w:val="56"/>
          <w:szCs w:val="56"/>
          <w:lang w:val="en-US" w:eastAsia="zh-CN"/>
        </w:rPr>
        <w:t xml:space="preserve"> 农 业 农 村 </w:t>
      </w:r>
      <w:r>
        <w:rPr>
          <w:rFonts w:hint="eastAsia" w:ascii="方正大标宋简体" w:hAnsi="方正大标宋简体" w:eastAsia="方正大标宋简体" w:cs="方正大标宋简体"/>
          <w:color w:val="FF0000"/>
          <w:sz w:val="56"/>
          <w:szCs w:val="56"/>
          <w:lang w:eastAsia="zh-CN"/>
        </w:rPr>
        <w:t>局</w:t>
      </w:r>
    </w:p>
    <w:p w14:paraId="3C2831E5">
      <w:pPr>
        <w:pStyle w:val="2"/>
        <w:keepNext w:val="0"/>
        <w:keepLines w:val="0"/>
        <w:pageBreakBefore w:val="0"/>
        <w:widowControl w:val="0"/>
        <w:kinsoku/>
        <w:wordWrap/>
        <w:overflowPunct/>
        <w:topLinePunct w:val="0"/>
        <w:autoSpaceDE/>
        <w:autoSpaceDN/>
        <w:bidi w:val="0"/>
        <w:spacing w:line="600" w:lineRule="exact"/>
        <w:ind w:left="0" w:leftChars="0" w:firstLine="0" w:firstLineChars="0"/>
        <w:rPr>
          <w:rFonts w:hint="eastAsia"/>
        </w:rPr>
      </w:pPr>
    </w:p>
    <w:p w14:paraId="118C7D1D">
      <w:pPr>
        <w:keepNext w:val="0"/>
        <w:keepLines w:val="0"/>
        <w:pageBreakBefore w:val="0"/>
        <w:widowControl w:val="0"/>
        <w:kinsoku/>
        <w:wordWrap/>
        <w:overflowPunct/>
        <w:topLinePunct w:val="0"/>
        <w:autoSpaceDE/>
        <w:autoSpaceDN/>
        <w:bidi w:val="0"/>
        <w:adjustRightInd/>
        <w:snapToGrid/>
        <w:spacing w:after="227" w:line="600" w:lineRule="exact"/>
        <w:jc w:val="center"/>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鱼政人社通字〔202</w:t>
      </w:r>
      <w:r>
        <w:rPr>
          <w:rFonts w:hint="eastAsia" w:ascii="仿宋_GB2312" w:hAnsi="仿宋_GB2312" w:eastAsia="仿宋_GB2312" w:cs="仿宋_GB2312"/>
          <w:sz w:val="32"/>
          <w:lang w:val="en-US" w:eastAsia="zh-CN"/>
        </w:rPr>
        <w:t>6</w:t>
      </w:r>
      <w:r>
        <w:rPr>
          <w:rFonts w:hint="eastAsia" w:ascii="仿宋_GB2312" w:hAnsi="仿宋_GB2312" w:eastAsia="仿宋_GB2312" w:cs="仿宋_GB2312"/>
          <w:sz w:val="32"/>
        </w:rPr>
        <w:t>〕</w:t>
      </w:r>
      <w:r>
        <w:rPr>
          <w:rFonts w:hint="eastAsia" w:ascii="仿宋_GB2312" w:hAnsi="仿宋_GB2312" w:eastAsia="仿宋_GB2312" w:cs="仿宋_GB2312"/>
          <w:sz w:val="32"/>
          <w:lang w:val="en-US" w:eastAsia="zh-CN"/>
        </w:rPr>
        <w:t xml:space="preserve"> 28 </w:t>
      </w:r>
      <w:r>
        <w:rPr>
          <w:rFonts w:hint="eastAsia" w:ascii="仿宋_GB2312" w:hAnsi="仿宋_GB2312" w:eastAsia="仿宋_GB2312" w:cs="仿宋_GB2312"/>
          <w:sz w:val="32"/>
        </w:rPr>
        <w:t>号</w:t>
      </w:r>
    </w:p>
    <w:p w14:paraId="20FB73C4">
      <w:pPr>
        <w:keepNext w:val="0"/>
        <w:keepLines w:val="0"/>
        <w:pageBreakBefore w:val="0"/>
        <w:widowControl w:val="0"/>
        <w:kinsoku/>
        <w:wordWrap/>
        <w:overflowPunct/>
        <w:topLinePunct w:val="0"/>
        <w:autoSpaceDE/>
        <w:autoSpaceDN/>
        <w:bidi w:val="0"/>
        <w:spacing w:line="600" w:lineRule="exact"/>
        <w:rPr>
          <w:rFonts w:ascii="Times New Roman" w:hAnsi="Times New Roman"/>
          <w:sz w:val="28"/>
        </w:rPr>
      </w:pPr>
      <w:r>
        <w:rPr>
          <w:rFonts w:ascii="Times New Roman" w:hAnsi="Times New Roman"/>
          <w:sz w:val="28"/>
        </w:rPr>
        <mc:AlternateContent>
          <mc:Choice Requires="wps">
            <w:drawing>
              <wp:anchor distT="0" distB="0" distL="114300" distR="114300" simplePos="0" relativeHeight="251659264" behindDoc="0" locked="0" layoutInCell="1" allowOverlap="1">
                <wp:simplePos x="0" y="0"/>
                <wp:positionH relativeFrom="column">
                  <wp:posOffset>-191135</wp:posOffset>
                </wp:positionH>
                <wp:positionV relativeFrom="paragraph">
                  <wp:posOffset>3175</wp:posOffset>
                </wp:positionV>
                <wp:extent cx="6105525" cy="0"/>
                <wp:effectExtent l="0" t="12700" r="9525" b="15875"/>
                <wp:wrapNone/>
                <wp:docPr id="1" name="自选图形 2"/>
                <wp:cNvGraphicFramePr/>
                <a:graphic xmlns:a="http://schemas.openxmlformats.org/drawingml/2006/main">
                  <a:graphicData uri="http://schemas.microsoft.com/office/word/2010/wordprocessingShape">
                    <wps:wsp>
                      <wps:cNvCnPr/>
                      <wps:spPr>
                        <a:xfrm>
                          <a:off x="0" y="0"/>
                          <a:ext cx="6105525" cy="0"/>
                        </a:xfrm>
                        <a:prstGeom prst="straightConnector1">
                          <a:avLst/>
                        </a:prstGeom>
                        <a:ln w="25400" cap="flat" cmpd="sng">
                          <a:solidFill>
                            <a:srgbClr val="FF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15.05pt;margin-top:0.25pt;height:0pt;width:480.75pt;z-index:251659264;mso-width-relative:page;mso-height-relative:page;" filled="f" stroked="t" coordsize="21600,21600" o:gfxdata="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l0Rd61AAAAAUBAAAPAAAAAAAAAAEAIAAAACIAAABkcnMvZG93bnJldi54bWxQSwEC&#10;FAAUAAAACACHTuJAY1Xx+/gBAADkAwAADgAAAAAAAAABACAAAAAjAQAAZHJzL2Uyb0RvYy54bWxQ&#10;SwUGAAAAAAYABgBZAQAAjQUAAAAA&#10;">
                <v:fill on="f" focussize="0,0"/>
                <v:stroke weight="2pt" color="#FF0000" joinstyle="round"/>
                <v:imagedata o:title=""/>
                <o:lock v:ext="edit" aspectratio="f"/>
              </v:shape>
            </w:pict>
          </mc:Fallback>
        </mc:AlternateContent>
      </w:r>
    </w:p>
    <w:p w14:paraId="4F02E33B">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宋体" w:eastAsia="方正小标宋简体"/>
          <w:sz w:val="44"/>
          <w:szCs w:val="36"/>
          <w:lang w:eastAsia="zh-CN"/>
        </w:rPr>
      </w:pPr>
      <w:r>
        <w:rPr>
          <w:rFonts w:hint="eastAsia" w:ascii="方正小标宋简体" w:hAnsi="宋体" w:eastAsia="方正小标宋简体"/>
          <w:sz w:val="44"/>
          <w:szCs w:val="36"/>
        </w:rPr>
        <w:t>关于</w:t>
      </w:r>
      <w:r>
        <w:rPr>
          <w:rFonts w:hint="eastAsia" w:ascii="方正小标宋简体" w:hAnsi="宋体" w:eastAsia="方正小标宋简体"/>
          <w:sz w:val="44"/>
          <w:szCs w:val="36"/>
          <w:lang w:eastAsia="zh-CN"/>
        </w:rPr>
        <w:t>取消柳州市嘉德木业有限公司</w:t>
      </w:r>
      <w:r>
        <w:rPr>
          <w:rFonts w:hint="eastAsia" w:ascii="方正小标宋简体" w:hAnsi="宋体" w:eastAsia="方正小标宋简体"/>
          <w:sz w:val="44"/>
          <w:szCs w:val="36"/>
          <w:lang w:val="en-US" w:eastAsia="zh-CN"/>
        </w:rPr>
        <w:t>为</w:t>
      </w:r>
      <w:r>
        <w:rPr>
          <w:rFonts w:hint="eastAsia" w:ascii="方正小标宋简体" w:hAnsi="宋体" w:eastAsia="方正小标宋简体"/>
          <w:sz w:val="44"/>
          <w:szCs w:val="36"/>
          <w:lang w:eastAsia="zh-CN"/>
        </w:rPr>
        <w:t>鱼峰区</w:t>
      </w:r>
    </w:p>
    <w:p w14:paraId="04978FBC">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宋体" w:eastAsia="方正小标宋简体"/>
          <w:sz w:val="44"/>
          <w:szCs w:val="36"/>
        </w:rPr>
      </w:pPr>
      <w:r>
        <w:rPr>
          <w:rFonts w:hint="eastAsia" w:ascii="方正小标宋简体" w:hAnsi="宋体" w:eastAsia="方正小标宋简体"/>
          <w:sz w:val="44"/>
          <w:szCs w:val="36"/>
          <w:lang w:eastAsia="zh-CN"/>
        </w:rPr>
        <w:t>就业</w:t>
      </w:r>
      <w:r>
        <w:rPr>
          <w:rFonts w:hint="eastAsia" w:ascii="方正小标宋简体" w:hAnsi="宋体" w:eastAsia="方正小标宋简体"/>
          <w:sz w:val="44"/>
          <w:szCs w:val="36"/>
          <w:lang w:val="en-US" w:eastAsia="zh-CN"/>
        </w:rPr>
        <w:t>帮扶</w:t>
      </w:r>
      <w:r>
        <w:rPr>
          <w:rFonts w:hint="eastAsia" w:ascii="方正小标宋简体" w:hAnsi="宋体" w:eastAsia="方正小标宋简体"/>
          <w:sz w:val="44"/>
          <w:szCs w:val="36"/>
          <w:lang w:eastAsia="zh-CN"/>
        </w:rPr>
        <w:t>车间称号的通知</w:t>
      </w:r>
    </w:p>
    <w:p w14:paraId="1586C72F">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sz w:val="28"/>
          <w:szCs w:val="28"/>
        </w:rPr>
      </w:pPr>
    </w:p>
    <w:p w14:paraId="65226C3E">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各有关单位</w:t>
      </w:r>
      <w:r>
        <w:rPr>
          <w:rFonts w:hint="eastAsia" w:ascii="仿宋_GB2312" w:hAnsi="仿宋_GB2312" w:eastAsia="仿宋_GB2312" w:cs="仿宋_GB2312"/>
          <w:sz w:val="32"/>
          <w:szCs w:val="32"/>
        </w:rPr>
        <w:t>：</w:t>
      </w:r>
    </w:p>
    <w:p w14:paraId="20F280F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lang w:val="en-US" w:eastAsia="zh-CN" w:bidi="ar"/>
        </w:rPr>
        <w:t>广西壮族自治区人力资源和社会保障厅+广西壮族自治区工业和信息化厅+广西壮族自治区乡村振兴局关于印发</w:t>
      </w:r>
      <w:r>
        <w:rPr>
          <w:rFonts w:hint="eastAsia" w:ascii="仿宋_GB2312" w:hAnsi="仿宋_GB2312" w:eastAsia="仿宋_GB2312" w:cs="仿宋_GB2312"/>
          <w:sz w:val="32"/>
          <w:szCs w:val="32"/>
        </w:rPr>
        <w:t>持续加强就业帮扶车间工作实施方案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桂人社规〔2022〕8号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文件精神，</w:t>
      </w:r>
      <w:r>
        <w:rPr>
          <w:rFonts w:hint="eastAsia" w:ascii="仿宋_GB2312" w:hAnsi="仿宋_GB2312" w:eastAsia="仿宋_GB2312" w:cs="仿宋_GB2312"/>
          <w:sz w:val="32"/>
          <w:szCs w:val="32"/>
          <w:lang w:eastAsia="zh-CN"/>
        </w:rPr>
        <w:t>鱼峰区</w:t>
      </w:r>
      <w:r>
        <w:rPr>
          <w:rFonts w:hint="eastAsia" w:ascii="仿宋_GB2312" w:hAnsi="仿宋_GB2312" w:eastAsia="仿宋_GB2312" w:cs="仿宋_GB2312"/>
          <w:sz w:val="32"/>
          <w:szCs w:val="32"/>
          <w:lang w:val="en-US" w:eastAsia="zh-CN"/>
        </w:rPr>
        <w:t>2022年6月13日认定柳州市嘉德木业有限公司为鱼峰区就业帮扶车间</w:t>
      </w:r>
      <w:r>
        <w:rPr>
          <w:rFonts w:hint="eastAsia" w:ascii="仿宋_GB2312" w:hAnsi="仿宋_GB2312" w:eastAsia="仿宋_GB2312" w:cs="仿宋_GB2312"/>
          <w:sz w:val="32"/>
          <w:szCs w:val="32"/>
          <w:lang w:eastAsia="zh-CN"/>
        </w:rPr>
        <w:t>并授予</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鱼峰区就业</w:t>
      </w:r>
      <w:r>
        <w:rPr>
          <w:rFonts w:hint="eastAsia" w:ascii="仿宋_GB2312" w:hAnsi="仿宋_GB2312" w:eastAsia="仿宋_GB2312" w:cs="仿宋_GB2312"/>
          <w:sz w:val="32"/>
          <w:szCs w:val="32"/>
          <w:lang w:val="en-US" w:eastAsia="zh-CN"/>
        </w:rPr>
        <w:t>帮扶</w:t>
      </w:r>
      <w:r>
        <w:rPr>
          <w:rFonts w:hint="eastAsia" w:ascii="仿宋_GB2312" w:hAnsi="仿宋_GB2312" w:eastAsia="仿宋_GB2312" w:cs="仿宋_GB2312"/>
          <w:sz w:val="32"/>
          <w:szCs w:val="32"/>
          <w:lang w:eastAsia="zh-CN"/>
        </w:rPr>
        <w:t>车间”牌匾。</w:t>
      </w:r>
      <w:r>
        <w:rPr>
          <w:rFonts w:hint="eastAsia" w:ascii="仿宋_GB2312" w:hAnsi="仿宋_GB2312" w:eastAsia="仿宋_GB2312" w:cs="仿宋_GB2312"/>
          <w:sz w:val="32"/>
          <w:szCs w:val="32"/>
          <w:lang w:val="en-US" w:eastAsia="zh-CN"/>
        </w:rPr>
        <w:t>因受市场经济影响，该公司自2026年5月起经营困难，历经减产、停产、帮扶，仍无法恢复生产。截至9月，</w:t>
      </w:r>
      <w:r>
        <w:rPr>
          <w:rFonts w:hint="eastAsia" w:ascii="仿宋_GB2312" w:hAnsi="仿宋_GB2312" w:eastAsia="仿宋_GB2312" w:cs="仿宋_GB2312"/>
          <w:kern w:val="0"/>
          <w:sz w:val="32"/>
          <w:szCs w:val="32"/>
          <w:lang w:val="en-US" w:eastAsia="zh-CN" w:bidi="ar"/>
        </w:rPr>
        <w:t>持续3个月以上带动脱贫人口就业低于5人。</w:t>
      </w:r>
    </w:p>
    <w:p w14:paraId="7022ECB8">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jc w:val="left"/>
        <w:textAlignment w:val="auto"/>
        <w:outlineLvl w:val="9"/>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根据《广西壮族自治区人力资源和社会保障厅+广西壮族自治区工业和信息化厅+广西壮族自治区乡村振兴局关于印发持续加强就业帮扶车间工作实施方案的通知》</w:t>
      </w:r>
      <w:r>
        <w:rPr>
          <w:rFonts w:hint="eastAsia" w:ascii="仿宋_GB2312" w:hAnsi="仿宋_GB2312" w:eastAsia="仿宋_GB2312" w:cs="仿宋_GB2312"/>
          <w:sz w:val="32"/>
          <w:szCs w:val="32"/>
          <w:lang w:eastAsia="zh-CN"/>
        </w:rPr>
        <w:t>（桂</w:t>
      </w:r>
      <w:r>
        <w:rPr>
          <w:rFonts w:hint="eastAsia" w:ascii="仿宋_GB2312" w:hAnsi="仿宋_GB2312" w:eastAsia="仿宋_GB2312" w:cs="仿宋_GB2312"/>
          <w:sz w:val="32"/>
          <w:szCs w:val="32"/>
          <w:lang w:val="en-US" w:eastAsia="zh-CN"/>
        </w:rPr>
        <w:t>人社规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号）</w:t>
      </w:r>
      <w:r>
        <w:rPr>
          <w:rFonts w:hint="eastAsia" w:ascii="仿宋_GB2312" w:hAnsi="仿宋_GB2312" w:eastAsia="仿宋_GB2312" w:cs="仿宋_GB2312"/>
          <w:kern w:val="0"/>
          <w:sz w:val="32"/>
          <w:szCs w:val="32"/>
          <w:lang w:val="en-US" w:eastAsia="zh-CN" w:bidi="ar"/>
        </w:rPr>
        <w:t>文件要求，对停止生产经营超过1个月，且经帮扶后仍无法恢复正常生产经营的就业帮扶车间，或者持续3个月以上带动脱贫人口就业低于5人的就业帮扶车间，取消其称号和享受就业帮扶车间扶持政策的资格。</w:t>
      </w:r>
    </w:p>
    <w:p w14:paraId="5518D604">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现柳州市嘉德木业有限公司已符合</w:t>
      </w:r>
      <w:r>
        <w:rPr>
          <w:rFonts w:hint="eastAsia" w:ascii="仿宋_GB2312" w:hAnsi="仿宋_GB2312" w:eastAsia="仿宋_GB2312" w:cs="仿宋_GB2312"/>
          <w:kern w:val="0"/>
          <w:sz w:val="32"/>
          <w:szCs w:val="32"/>
          <w:lang w:val="en-US" w:eastAsia="zh-CN" w:bidi="ar"/>
        </w:rPr>
        <w:t>取消其称号和享受就业帮扶车间扶持政策资格的条件，</w:t>
      </w:r>
      <w:r>
        <w:rPr>
          <w:rFonts w:hint="eastAsia" w:ascii="仿宋_GB2312" w:hAnsi="仿宋_GB2312" w:eastAsia="仿宋_GB2312" w:cs="仿宋_GB2312"/>
          <w:sz w:val="32"/>
          <w:szCs w:val="32"/>
          <w:lang w:eastAsia="zh-CN"/>
        </w:rPr>
        <w:t>经研究，决定取消</w:t>
      </w:r>
      <w:r>
        <w:rPr>
          <w:rFonts w:hint="eastAsia" w:ascii="仿宋_GB2312" w:hAnsi="仿宋_GB2312" w:eastAsia="仿宋_GB2312" w:cs="仿宋_GB2312"/>
          <w:sz w:val="32"/>
          <w:szCs w:val="32"/>
          <w:lang w:val="en-US" w:eastAsia="zh-CN"/>
        </w:rPr>
        <w:t>该公司</w:t>
      </w:r>
      <w:r>
        <w:rPr>
          <w:rFonts w:hint="eastAsia" w:ascii="仿宋_GB2312" w:hAnsi="仿宋_GB2312" w:eastAsia="仿宋_GB2312" w:cs="仿宋_GB2312"/>
          <w:sz w:val="32"/>
          <w:szCs w:val="32"/>
          <w:lang w:eastAsia="zh-CN"/>
        </w:rPr>
        <w:t>鱼峰区就业</w:t>
      </w:r>
      <w:r>
        <w:rPr>
          <w:rFonts w:hint="eastAsia" w:ascii="仿宋_GB2312" w:hAnsi="仿宋_GB2312" w:eastAsia="仿宋_GB2312" w:cs="仿宋_GB2312"/>
          <w:sz w:val="32"/>
          <w:szCs w:val="32"/>
          <w:lang w:val="en-US" w:eastAsia="zh-CN"/>
        </w:rPr>
        <w:t>帮扶</w:t>
      </w:r>
      <w:r>
        <w:rPr>
          <w:rFonts w:hint="eastAsia" w:ascii="仿宋_GB2312" w:hAnsi="仿宋_GB2312" w:eastAsia="仿宋_GB2312" w:cs="仿宋_GB2312"/>
          <w:sz w:val="32"/>
          <w:szCs w:val="32"/>
          <w:lang w:eastAsia="zh-CN"/>
        </w:rPr>
        <w:t>车间称号</w:t>
      </w:r>
      <w:r>
        <w:rPr>
          <w:rFonts w:hint="eastAsia" w:ascii="仿宋_GB2312" w:hAnsi="仿宋_GB2312" w:eastAsia="仿宋_GB2312" w:cs="仿宋_GB2312"/>
          <w:kern w:val="0"/>
          <w:sz w:val="32"/>
          <w:szCs w:val="32"/>
          <w:lang w:val="en-US" w:eastAsia="zh-CN" w:bidi="ar"/>
        </w:rPr>
        <w:t>和享受就业帮扶车间扶持政策的资格</w:t>
      </w:r>
      <w:r>
        <w:rPr>
          <w:rFonts w:hint="eastAsia" w:ascii="仿宋_GB2312" w:hAnsi="仿宋_GB2312" w:eastAsia="仿宋_GB2312" w:cs="仿宋_GB2312"/>
          <w:sz w:val="32"/>
          <w:szCs w:val="32"/>
          <w:lang w:eastAsia="zh-CN"/>
        </w:rPr>
        <w:t>，并收回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鱼峰区就业</w:t>
      </w:r>
      <w:r>
        <w:rPr>
          <w:rFonts w:hint="eastAsia" w:ascii="仿宋_GB2312" w:hAnsi="仿宋_GB2312" w:eastAsia="仿宋_GB2312" w:cs="仿宋_GB2312"/>
          <w:sz w:val="32"/>
          <w:szCs w:val="32"/>
          <w:lang w:val="en-US" w:eastAsia="zh-CN"/>
        </w:rPr>
        <w:t>帮扶</w:t>
      </w:r>
      <w:r>
        <w:rPr>
          <w:rFonts w:hint="eastAsia" w:ascii="仿宋_GB2312" w:hAnsi="仿宋_GB2312" w:eastAsia="仿宋_GB2312" w:cs="仿宋_GB2312"/>
          <w:sz w:val="32"/>
          <w:szCs w:val="32"/>
          <w:lang w:eastAsia="zh-CN"/>
        </w:rPr>
        <w:t>车间”牌匾。</w:t>
      </w:r>
    </w:p>
    <w:p w14:paraId="357DCB04">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14:paraId="09194FD8">
      <w:pPr>
        <w:pStyle w:val="2"/>
        <w:keepNext w:val="0"/>
        <w:keepLines w:val="0"/>
        <w:pageBreakBefore w:val="0"/>
        <w:widowControl w:val="0"/>
        <w:kinsoku/>
        <w:wordWrap/>
        <w:overflowPunct/>
        <w:topLinePunct w:val="0"/>
        <w:autoSpaceDE/>
        <w:autoSpaceDN/>
        <w:bidi w:val="0"/>
        <w:adjustRightInd/>
        <w:snapToGrid/>
        <w:spacing w:line="578" w:lineRule="exact"/>
        <w:rPr>
          <w:rFonts w:hint="eastAsia" w:ascii="仿宋_GB2312" w:hAnsi="仿宋_GB2312" w:eastAsia="仿宋_GB2312" w:cs="仿宋_GB2312"/>
          <w:sz w:val="32"/>
          <w:szCs w:val="32"/>
        </w:rPr>
      </w:pPr>
    </w:p>
    <w:p w14:paraId="749BDA36">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14:paraId="31AA066A">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鱼峰区</w:t>
      </w:r>
      <w:r>
        <w:rPr>
          <w:rFonts w:hint="eastAsia" w:ascii="仿宋_GB2312" w:hAnsi="仿宋_GB2312" w:eastAsia="仿宋_GB2312" w:cs="仿宋_GB2312"/>
          <w:sz w:val="32"/>
          <w:szCs w:val="32"/>
          <w:lang w:eastAsia="zh-CN"/>
        </w:rPr>
        <w:t>人力资源</w:t>
      </w:r>
      <w:r>
        <w:rPr>
          <w:rFonts w:hint="eastAsia" w:ascii="仿宋_GB2312" w:hAnsi="仿宋_GB2312" w:eastAsia="仿宋_GB2312" w:cs="仿宋_GB2312"/>
          <w:sz w:val="32"/>
          <w:szCs w:val="32"/>
          <w:lang w:val="en-US" w:eastAsia="zh-CN"/>
        </w:rPr>
        <w:t xml:space="preserve">        鱼峰区财政局     </w:t>
      </w:r>
      <w:r>
        <w:rPr>
          <w:rFonts w:hint="eastAsia" w:ascii="仿宋_GB2312" w:hAnsi="仿宋_GB2312" w:eastAsia="仿宋_GB2312" w:cs="仿宋_GB2312"/>
          <w:sz w:val="32"/>
          <w:szCs w:val="32"/>
          <w:lang w:eastAsia="zh-CN"/>
        </w:rPr>
        <w:t>鱼峰区</w:t>
      </w:r>
      <w:r>
        <w:rPr>
          <w:rFonts w:hint="eastAsia" w:ascii="仿宋_GB2312" w:hAnsi="仿宋_GB2312" w:eastAsia="仿宋_GB2312" w:cs="仿宋_GB2312"/>
          <w:sz w:val="32"/>
          <w:szCs w:val="32"/>
          <w:lang w:val="en-US" w:eastAsia="zh-CN"/>
        </w:rPr>
        <w:t>农业农村</w:t>
      </w:r>
      <w:r>
        <w:rPr>
          <w:rFonts w:hint="eastAsia" w:ascii="仿宋_GB2312" w:hAnsi="仿宋_GB2312" w:eastAsia="仿宋_GB2312" w:cs="仿宋_GB2312"/>
          <w:sz w:val="32"/>
          <w:szCs w:val="32"/>
          <w:lang w:eastAsia="zh-CN"/>
        </w:rPr>
        <w:t>局</w:t>
      </w:r>
    </w:p>
    <w:p w14:paraId="1FEC75EA">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和社会保障局</w:t>
      </w:r>
      <w:r>
        <w:rPr>
          <w:rFonts w:hint="eastAsia" w:ascii="仿宋_GB2312" w:hAnsi="仿宋_GB2312" w:eastAsia="仿宋_GB2312" w:cs="仿宋_GB2312"/>
          <w:sz w:val="32"/>
          <w:szCs w:val="32"/>
          <w:lang w:val="en-US" w:eastAsia="zh-CN"/>
        </w:rPr>
        <w:t xml:space="preserve">                    </w:t>
      </w:r>
    </w:p>
    <w:p w14:paraId="49BF1391">
      <w:pPr>
        <w:keepNext w:val="0"/>
        <w:keepLines w:val="0"/>
        <w:pageBreakBefore w:val="0"/>
        <w:widowControl w:val="0"/>
        <w:kinsoku/>
        <w:wordWrap/>
        <w:overflowPunct/>
        <w:topLinePunct w:val="0"/>
        <w:autoSpaceDE/>
        <w:autoSpaceDN/>
        <w:bidi w:val="0"/>
        <w:adjustRightInd/>
        <w:snapToGrid/>
        <w:spacing w:line="578" w:lineRule="exact"/>
        <w:ind w:firstLine="57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2366BE18">
      <w:pPr>
        <w:keepNext w:val="0"/>
        <w:keepLines w:val="0"/>
        <w:pageBreakBefore w:val="0"/>
        <w:widowControl w:val="0"/>
        <w:kinsoku/>
        <w:wordWrap/>
        <w:overflowPunct/>
        <w:topLinePunct w:val="0"/>
        <w:autoSpaceDE/>
        <w:autoSpaceDN/>
        <w:bidi w:val="0"/>
        <w:adjustRightInd/>
        <w:snapToGrid/>
        <w:spacing w:line="578" w:lineRule="exact"/>
        <w:ind w:firstLine="4800" w:firstLineChars="1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19 </w:t>
      </w:r>
      <w:r>
        <w:rPr>
          <w:rFonts w:hint="eastAsia" w:ascii="仿宋_GB2312" w:hAnsi="仿宋_GB2312" w:eastAsia="仿宋_GB2312" w:cs="仿宋_GB2312"/>
          <w:sz w:val="32"/>
          <w:szCs w:val="32"/>
        </w:rPr>
        <w:t>日</w:t>
      </w:r>
    </w:p>
    <w:p w14:paraId="13745BD2">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公开方式：主动公开</w:t>
      </w:r>
    </w:p>
    <w:p w14:paraId="11B7C893">
      <w:pPr>
        <w:pStyle w:val="2"/>
        <w:keepNext w:val="0"/>
        <w:keepLines w:val="0"/>
        <w:pageBreakBefore w:val="0"/>
        <w:widowControl w:val="0"/>
        <w:kinsoku/>
        <w:wordWrap/>
        <w:overflowPunct/>
        <w:topLinePunct w:val="0"/>
        <w:autoSpaceDE/>
        <w:autoSpaceDN/>
        <w:bidi w:val="0"/>
        <w:spacing w:line="578" w:lineRule="exact"/>
        <w:rPr>
          <w:rFonts w:hint="eastAsia"/>
        </w:rPr>
      </w:pPr>
    </w:p>
    <w:p w14:paraId="03DFF32A">
      <w:pPr>
        <w:pStyle w:val="2"/>
        <w:keepNext w:val="0"/>
        <w:keepLines w:val="0"/>
        <w:pageBreakBefore w:val="0"/>
        <w:widowControl w:val="0"/>
        <w:kinsoku/>
        <w:wordWrap/>
        <w:overflowPunct/>
        <w:topLinePunct w:val="0"/>
        <w:autoSpaceDE/>
        <w:autoSpaceDN/>
        <w:bidi w:val="0"/>
        <w:adjustRightInd/>
        <w:snapToGrid/>
        <w:spacing w:line="578" w:lineRule="exact"/>
        <w:rPr>
          <w:rFonts w:hint="eastAsia" w:ascii="仿宋_GB2312" w:hAnsi="宋体" w:eastAsia="仿宋_GB2312"/>
          <w:sz w:val="32"/>
          <w:szCs w:val="32"/>
        </w:rPr>
      </w:pPr>
    </w:p>
    <w:p w14:paraId="003513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59159D25">
      <w:pPr>
        <w:pStyle w:val="3"/>
        <w:keepNext w:val="0"/>
        <w:keepLines w:val="0"/>
        <w:pageBreakBefore w:val="0"/>
        <w:widowControl w:val="0"/>
        <w:kinsoku/>
        <w:wordWrap/>
        <w:overflowPunct/>
        <w:topLinePunct w:val="0"/>
        <w:autoSpaceDE/>
        <w:autoSpaceDN/>
        <w:bidi w:val="0"/>
        <w:spacing w:line="578" w:lineRule="exact"/>
        <w:ind w:left="0" w:leftChars="0" w:firstLine="0" w:firstLineChars="0"/>
        <w:jc w:val="both"/>
        <w:rPr>
          <w:rFonts w:hint="eastAsia"/>
          <w:lang w:val="en-US" w:eastAsia="zh-CN"/>
        </w:rPr>
      </w:pPr>
    </w:p>
    <w:p w14:paraId="332ABD39">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2A2B8CA6">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12FD5090">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6F1C4D7C">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6DEB370B">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66AF638B">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3A563AF1">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3B2F05F9">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5899980E">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50E72D9A">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36EDA243">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1AF234F0">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6F867ECF">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016A4165">
      <w:pPr>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right="0"/>
        <w:jc w:val="both"/>
        <w:rPr>
          <w:rFonts w:hint="eastAsia" w:ascii="黑体" w:hAnsi="宋体" w:eastAsia="黑体" w:cs="黑体"/>
          <w:kern w:val="2"/>
          <w:sz w:val="32"/>
          <w:szCs w:val="32"/>
          <w:lang w:val="en-US" w:eastAsia="zh-CN" w:bidi="ar"/>
        </w:rPr>
      </w:pPr>
    </w:p>
    <w:p w14:paraId="6169A4DF">
      <w:pPr>
        <w:pStyle w:val="2"/>
        <w:keepNext w:val="0"/>
        <w:keepLines w:val="0"/>
        <w:pageBreakBefore w:val="0"/>
        <w:widowControl w:val="0"/>
        <w:kinsoku/>
        <w:wordWrap/>
        <w:overflowPunct/>
        <w:topLinePunct w:val="0"/>
        <w:autoSpaceDE/>
        <w:autoSpaceDN/>
        <w:bidi w:val="0"/>
        <w:spacing w:line="578" w:lineRule="exact"/>
        <w:rPr>
          <w:rFonts w:hint="eastAsia" w:ascii="黑体" w:hAnsi="宋体" w:eastAsia="黑体" w:cs="黑体"/>
          <w:kern w:val="2"/>
          <w:sz w:val="32"/>
          <w:szCs w:val="32"/>
          <w:lang w:val="en-US" w:eastAsia="zh-CN" w:bidi="ar"/>
        </w:rPr>
      </w:pPr>
    </w:p>
    <w:p w14:paraId="399C737B">
      <w:pPr>
        <w:pStyle w:val="2"/>
        <w:keepNext w:val="0"/>
        <w:keepLines w:val="0"/>
        <w:pageBreakBefore w:val="0"/>
        <w:widowControl w:val="0"/>
        <w:kinsoku/>
        <w:wordWrap/>
        <w:overflowPunct/>
        <w:topLinePunct w:val="0"/>
        <w:autoSpaceDE/>
        <w:autoSpaceDN/>
        <w:bidi w:val="0"/>
        <w:spacing w:line="578" w:lineRule="exact"/>
        <w:ind w:left="0" w:leftChars="0" w:firstLine="0" w:firstLineChars="0"/>
        <w:rPr>
          <w:rFonts w:hint="eastAsia"/>
          <w:lang w:val="en-US" w:eastAsia="zh-CN"/>
        </w:rPr>
      </w:pPr>
    </w:p>
    <w:p w14:paraId="41A0F2BE">
      <w:pPr>
        <w:rPr>
          <w:rFonts w:hint="eastAsia"/>
          <w:lang w:val="en-US" w:eastAsia="zh-CN"/>
        </w:rPr>
      </w:pPr>
    </w:p>
    <w:p w14:paraId="6D98663E">
      <w:pPr>
        <w:pStyle w:val="2"/>
        <w:rPr>
          <w:rFonts w:hint="eastAsia"/>
          <w:lang w:val="en-US" w:eastAsia="zh-CN"/>
        </w:rPr>
      </w:pPr>
    </w:p>
    <w:p w14:paraId="58613CCC">
      <w:pPr>
        <w:pStyle w:val="2"/>
        <w:keepNext w:val="0"/>
        <w:keepLines w:val="0"/>
        <w:pageBreakBefore w:val="0"/>
        <w:widowControl w:val="0"/>
        <w:kinsoku/>
        <w:wordWrap/>
        <w:overflowPunct/>
        <w:topLinePunct w:val="0"/>
        <w:autoSpaceDE/>
        <w:autoSpaceDN/>
        <w:bidi w:val="0"/>
        <w:spacing w:line="578" w:lineRule="exact"/>
        <w:ind w:left="0" w:leftChars="0" w:firstLine="0" w:firstLineChars="0"/>
        <w:rPr>
          <w:rFonts w:hint="eastAsia"/>
          <w:lang w:val="en-US" w:eastAsia="zh-CN"/>
        </w:rPr>
      </w:pPr>
    </w:p>
    <w:p w14:paraId="7DDD169B">
      <w:pPr>
        <w:keepNext w:val="0"/>
        <w:keepLines w:val="0"/>
        <w:pageBreakBefore w:val="0"/>
        <w:widowControl w:val="0"/>
        <w:suppressLineNumbers w:val="0"/>
        <w:pBdr>
          <w:top w:val="single" w:color="auto" w:sz="12" w:space="1"/>
          <w:left w:val="none" w:color="auto" w:sz="0" w:space="0"/>
          <w:bottom w:val="single" w:color="auto" w:sz="12" w:space="1"/>
          <w:right w:val="none" w:color="auto" w:sz="0" w:space="0"/>
        </w:pBdr>
        <w:kinsoku/>
        <w:wordWrap/>
        <w:overflowPunct/>
        <w:topLinePunct w:val="0"/>
        <w:autoSpaceDE/>
        <w:autoSpaceDN/>
        <w:bidi w:val="0"/>
        <w:adjustRightInd w:val="0"/>
        <w:snapToGrid w:val="0"/>
        <w:spacing w:before="0" w:beforeAutospacing="0" w:after="0" w:afterAutospacing="0" w:line="578" w:lineRule="exact"/>
        <w:ind w:right="0" w:firstLine="280" w:firstLineChars="100"/>
        <w:jc w:val="left"/>
        <w:rPr>
          <w:rFonts w:hint="eastAsia" w:ascii="仿宋_GB2312" w:hAnsi="宋体" w:eastAsia="仿宋_GB2312"/>
          <w:sz w:val="32"/>
          <w:szCs w:val="32"/>
        </w:rPr>
      </w:pPr>
      <w:r>
        <w:rPr>
          <w:rFonts w:hint="eastAsia" w:ascii="仿宋_GB2312" w:hAnsi="仿宋_GB2312" w:eastAsia="仿宋_GB2312" w:cs="仿宋_GB2312"/>
          <w:kern w:val="2"/>
          <w:sz w:val="28"/>
          <w:szCs w:val="28"/>
          <w:lang w:val="en-US" w:eastAsia="zh-CN" w:bidi="ar"/>
        </w:rPr>
        <w:t xml:space="preserve">鱼峰区人力资源和社会保障局办公室      2026年10月 19 日印发 </w:t>
      </w:r>
      <w:r>
        <w:rPr>
          <w:rFonts w:hint="eastAsia" w:ascii="仿宋_GB2312" w:hAnsi="仿宋_GB2312" w:eastAsia="仿宋_GB2312" w:cs="仿宋_GB2312"/>
          <w:color w:val="000000"/>
          <w:kern w:val="2"/>
          <w:sz w:val="32"/>
          <w:szCs w:val="32"/>
          <w:lang w:val="en-US" w:eastAsia="zh-CN"/>
        </w:rPr>
        <w:t xml:space="preserve">  </w:t>
      </w:r>
      <w:bookmarkStart w:id="0" w:name="_GoBack"/>
      <w:bookmarkEnd w:id="0"/>
      <w:r>
        <w:rPr>
          <w:rFonts w:hint="eastAsia" w:ascii="仿宋_GB2312" w:hAnsi="宋体" w:eastAsia="仿宋_GB2312"/>
          <w:sz w:val="30"/>
          <w:szCs w:val="30"/>
        </w:rPr>
        <w:t xml:space="preserve">                              </w:t>
      </w:r>
      <w:r>
        <w:rPr>
          <w:rFonts w:hint="eastAsia" w:ascii="仿宋_GB2312" w:hAnsi="宋体" w:eastAsia="仿宋_GB2312"/>
          <w:sz w:val="30"/>
          <w:szCs w:val="30"/>
          <w:lang w:val="en-US" w:eastAsia="zh-CN"/>
        </w:rPr>
        <w:t xml:space="preserve"> </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panose1 w:val="02010601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F95"/>
    <w:rsid w:val="00026072"/>
    <w:rsid w:val="000269EB"/>
    <w:rsid w:val="0006062E"/>
    <w:rsid w:val="00065BCD"/>
    <w:rsid w:val="00097BE1"/>
    <w:rsid w:val="000E5066"/>
    <w:rsid w:val="000E6C67"/>
    <w:rsid w:val="00115F46"/>
    <w:rsid w:val="00116F91"/>
    <w:rsid w:val="00141AA9"/>
    <w:rsid w:val="001528C6"/>
    <w:rsid w:val="00157D6E"/>
    <w:rsid w:val="0019638A"/>
    <w:rsid w:val="001A26BE"/>
    <w:rsid w:val="001A7922"/>
    <w:rsid w:val="001B0364"/>
    <w:rsid w:val="001B10D0"/>
    <w:rsid w:val="001B5FAE"/>
    <w:rsid w:val="001D60CD"/>
    <w:rsid w:val="002433F8"/>
    <w:rsid w:val="0029685A"/>
    <w:rsid w:val="002C4547"/>
    <w:rsid w:val="002C762E"/>
    <w:rsid w:val="00303157"/>
    <w:rsid w:val="003247AD"/>
    <w:rsid w:val="00352B8A"/>
    <w:rsid w:val="0038605F"/>
    <w:rsid w:val="00395AA5"/>
    <w:rsid w:val="003E54BB"/>
    <w:rsid w:val="003E752B"/>
    <w:rsid w:val="00403042"/>
    <w:rsid w:val="004066E4"/>
    <w:rsid w:val="00440288"/>
    <w:rsid w:val="00446259"/>
    <w:rsid w:val="0047659F"/>
    <w:rsid w:val="00495EDE"/>
    <w:rsid w:val="004A4900"/>
    <w:rsid w:val="004B133F"/>
    <w:rsid w:val="004D4C0A"/>
    <w:rsid w:val="004F7692"/>
    <w:rsid w:val="00512071"/>
    <w:rsid w:val="00515D02"/>
    <w:rsid w:val="00544EC2"/>
    <w:rsid w:val="005509E4"/>
    <w:rsid w:val="00553B42"/>
    <w:rsid w:val="005D3691"/>
    <w:rsid w:val="005D7DD1"/>
    <w:rsid w:val="005F2A4F"/>
    <w:rsid w:val="005F5679"/>
    <w:rsid w:val="00613BA4"/>
    <w:rsid w:val="00636F21"/>
    <w:rsid w:val="00656FC0"/>
    <w:rsid w:val="006849F0"/>
    <w:rsid w:val="006A2487"/>
    <w:rsid w:val="006C2026"/>
    <w:rsid w:val="006C3860"/>
    <w:rsid w:val="006C684B"/>
    <w:rsid w:val="006D38BA"/>
    <w:rsid w:val="006F0607"/>
    <w:rsid w:val="006F19D1"/>
    <w:rsid w:val="006F3415"/>
    <w:rsid w:val="006F74F2"/>
    <w:rsid w:val="00720732"/>
    <w:rsid w:val="00740885"/>
    <w:rsid w:val="00756F87"/>
    <w:rsid w:val="00773366"/>
    <w:rsid w:val="00774028"/>
    <w:rsid w:val="00784196"/>
    <w:rsid w:val="007A0938"/>
    <w:rsid w:val="007C3668"/>
    <w:rsid w:val="007C7F2F"/>
    <w:rsid w:val="007F10D9"/>
    <w:rsid w:val="007F3914"/>
    <w:rsid w:val="00803BF5"/>
    <w:rsid w:val="00856AA9"/>
    <w:rsid w:val="008A654B"/>
    <w:rsid w:val="008A6968"/>
    <w:rsid w:val="008D1D59"/>
    <w:rsid w:val="009075F0"/>
    <w:rsid w:val="009441CD"/>
    <w:rsid w:val="00960E3F"/>
    <w:rsid w:val="00971BD2"/>
    <w:rsid w:val="00981EDE"/>
    <w:rsid w:val="009E7802"/>
    <w:rsid w:val="009E7894"/>
    <w:rsid w:val="009F32C5"/>
    <w:rsid w:val="00A00649"/>
    <w:rsid w:val="00A14D83"/>
    <w:rsid w:val="00A17A13"/>
    <w:rsid w:val="00A2657A"/>
    <w:rsid w:val="00A30E83"/>
    <w:rsid w:val="00A61E5C"/>
    <w:rsid w:val="00A72D4C"/>
    <w:rsid w:val="00AA2A16"/>
    <w:rsid w:val="00AC4E11"/>
    <w:rsid w:val="00AC585C"/>
    <w:rsid w:val="00AD001D"/>
    <w:rsid w:val="00B23B00"/>
    <w:rsid w:val="00B26143"/>
    <w:rsid w:val="00B41972"/>
    <w:rsid w:val="00B50BDC"/>
    <w:rsid w:val="00B520E4"/>
    <w:rsid w:val="00B606CA"/>
    <w:rsid w:val="00B63412"/>
    <w:rsid w:val="00B72047"/>
    <w:rsid w:val="00BC27C0"/>
    <w:rsid w:val="00BC320E"/>
    <w:rsid w:val="00BD60DE"/>
    <w:rsid w:val="00C2311B"/>
    <w:rsid w:val="00CA0DAC"/>
    <w:rsid w:val="00CA2F19"/>
    <w:rsid w:val="00CA2F93"/>
    <w:rsid w:val="00CC5199"/>
    <w:rsid w:val="00CD2497"/>
    <w:rsid w:val="00CE0D41"/>
    <w:rsid w:val="00D24900"/>
    <w:rsid w:val="00D31DE7"/>
    <w:rsid w:val="00D441FF"/>
    <w:rsid w:val="00D77C04"/>
    <w:rsid w:val="00D81CE4"/>
    <w:rsid w:val="00D82DD1"/>
    <w:rsid w:val="00D85018"/>
    <w:rsid w:val="00DA48C4"/>
    <w:rsid w:val="00DF48A5"/>
    <w:rsid w:val="00E26504"/>
    <w:rsid w:val="00E36042"/>
    <w:rsid w:val="00E44F99"/>
    <w:rsid w:val="00E86584"/>
    <w:rsid w:val="00E90E86"/>
    <w:rsid w:val="00E92C02"/>
    <w:rsid w:val="00EA3D1C"/>
    <w:rsid w:val="00F129CE"/>
    <w:rsid w:val="00F16D96"/>
    <w:rsid w:val="00F27E04"/>
    <w:rsid w:val="00F47ED4"/>
    <w:rsid w:val="00F52FBB"/>
    <w:rsid w:val="00F531BB"/>
    <w:rsid w:val="00F84FAD"/>
    <w:rsid w:val="00F86240"/>
    <w:rsid w:val="00F86C8B"/>
    <w:rsid w:val="00F93687"/>
    <w:rsid w:val="00F95D1D"/>
    <w:rsid w:val="00FB0B8A"/>
    <w:rsid w:val="00FB54EB"/>
    <w:rsid w:val="00FB6F95"/>
    <w:rsid w:val="00FD5180"/>
    <w:rsid w:val="00FD5FC0"/>
    <w:rsid w:val="017F3EF0"/>
    <w:rsid w:val="01A4439E"/>
    <w:rsid w:val="026806CE"/>
    <w:rsid w:val="0807372C"/>
    <w:rsid w:val="08F024B8"/>
    <w:rsid w:val="096677EA"/>
    <w:rsid w:val="0B212FD1"/>
    <w:rsid w:val="0E225012"/>
    <w:rsid w:val="0FA60BAF"/>
    <w:rsid w:val="11D50037"/>
    <w:rsid w:val="15883575"/>
    <w:rsid w:val="15F7600F"/>
    <w:rsid w:val="17C14DE5"/>
    <w:rsid w:val="18B20467"/>
    <w:rsid w:val="1D970AF7"/>
    <w:rsid w:val="20533702"/>
    <w:rsid w:val="24537C2B"/>
    <w:rsid w:val="24DC6020"/>
    <w:rsid w:val="27903E21"/>
    <w:rsid w:val="2879645B"/>
    <w:rsid w:val="28D571FD"/>
    <w:rsid w:val="2B64752E"/>
    <w:rsid w:val="2B912F24"/>
    <w:rsid w:val="2F5B4C4D"/>
    <w:rsid w:val="31080104"/>
    <w:rsid w:val="31C70587"/>
    <w:rsid w:val="33DE5CA1"/>
    <w:rsid w:val="34141012"/>
    <w:rsid w:val="348445F7"/>
    <w:rsid w:val="36135430"/>
    <w:rsid w:val="366D2798"/>
    <w:rsid w:val="381551E7"/>
    <w:rsid w:val="3931216D"/>
    <w:rsid w:val="39E83226"/>
    <w:rsid w:val="3A7601CA"/>
    <w:rsid w:val="3BE57CE6"/>
    <w:rsid w:val="3D6A4F3F"/>
    <w:rsid w:val="3E1A06A8"/>
    <w:rsid w:val="3F6C1B91"/>
    <w:rsid w:val="411C1395"/>
    <w:rsid w:val="422B7578"/>
    <w:rsid w:val="458D1AF5"/>
    <w:rsid w:val="46261A3F"/>
    <w:rsid w:val="493279A7"/>
    <w:rsid w:val="49407D24"/>
    <w:rsid w:val="495F6223"/>
    <w:rsid w:val="49CF3448"/>
    <w:rsid w:val="4C817111"/>
    <w:rsid w:val="52293911"/>
    <w:rsid w:val="525B0B08"/>
    <w:rsid w:val="537605F9"/>
    <w:rsid w:val="54705828"/>
    <w:rsid w:val="5536081F"/>
    <w:rsid w:val="5628234B"/>
    <w:rsid w:val="5B6E5A16"/>
    <w:rsid w:val="5BAF01F8"/>
    <w:rsid w:val="5E983CF5"/>
    <w:rsid w:val="5EAE7678"/>
    <w:rsid w:val="5EF46457"/>
    <w:rsid w:val="6207745F"/>
    <w:rsid w:val="63F34097"/>
    <w:rsid w:val="65954DFB"/>
    <w:rsid w:val="660347D7"/>
    <w:rsid w:val="670C59DE"/>
    <w:rsid w:val="6A162C41"/>
    <w:rsid w:val="6DF74750"/>
    <w:rsid w:val="6FB2452F"/>
    <w:rsid w:val="707778B7"/>
    <w:rsid w:val="70FA6CE8"/>
    <w:rsid w:val="721B4BCD"/>
    <w:rsid w:val="72A334D3"/>
    <w:rsid w:val="72B95C7E"/>
    <w:rsid w:val="73807BDC"/>
    <w:rsid w:val="73C502B8"/>
    <w:rsid w:val="73D2575F"/>
    <w:rsid w:val="751E672A"/>
    <w:rsid w:val="75F7608C"/>
    <w:rsid w:val="77036D3D"/>
    <w:rsid w:val="79464D7F"/>
    <w:rsid w:val="79CD53CB"/>
    <w:rsid w:val="7A1D43A3"/>
    <w:rsid w:val="7BB940B0"/>
    <w:rsid w:val="7DD95DEF"/>
    <w:rsid w:val="7F8556D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BodyText"/>
    <w:basedOn w:val="1"/>
    <w:next w:val="3"/>
    <w:qFormat/>
    <w:uiPriority w:val="0"/>
    <w:pPr>
      <w:spacing w:line="240" w:lineRule="auto"/>
      <w:ind w:left="102"/>
      <w:jc w:val="both"/>
      <w:textAlignment w:val="baseline"/>
    </w:pPr>
    <w:rPr>
      <w:rFonts w:ascii="宋体" w:hAnsi="宋体" w:eastAsia="宋体"/>
      <w:kern w:val="2"/>
      <w:sz w:val="29"/>
      <w:szCs w:val="24"/>
      <w:lang w:val="en-US" w:eastAsia="zh-CN" w:bidi="ar-SA"/>
    </w:rPr>
  </w:style>
  <w:style w:type="paragraph" w:customStyle="1" w:styleId="3">
    <w:name w:val="181"/>
    <w:basedOn w:val="1"/>
    <w:next w:val="1"/>
    <w:qFormat/>
    <w:uiPriority w:val="0"/>
    <w:pPr>
      <w:spacing w:before="360" w:after="360" w:line="240" w:lineRule="auto"/>
      <w:ind w:left="950" w:right="950"/>
      <w:jc w:val="center"/>
      <w:textAlignment w:val="baseline"/>
    </w:pPr>
    <w:rPr>
      <w:rFonts w:ascii="Times New Roman" w:hAnsi="Times New Roman" w:eastAsia="宋体"/>
      <w:i/>
      <w:kern w:val="2"/>
      <w:sz w:val="21"/>
      <w:szCs w:val="24"/>
      <w:lang w:val="en-US" w:eastAsia="zh-CN"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610</Words>
  <Characters>637</Characters>
  <Lines>4</Lines>
  <Paragraphs>1</Paragraphs>
  <TotalTime>5</TotalTime>
  <ScaleCrop>false</ScaleCrop>
  <LinksUpToDate>false</LinksUpToDate>
  <CharactersWithSpaces>776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2012-08-20T09:10:00Z</dcterms:created>
  <dc:creator>X</dc:creator>
  <cp:lastModifiedBy>尹莉雯</cp:lastModifiedBy>
  <cp:lastPrinted>2026-10-19T04:03:02Z</cp:lastPrinted>
  <dcterms:modified xsi:type="dcterms:W3CDTF">2026-10-19T04:05:11Z</dcterms:modified>
  <dc:title>关于卢柳成等128名公益性岗位人员差额工资的请示</dc:title>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9465310FBCAA4FAE853726779BE87A4B_13</vt:lpwstr>
  </property>
  <property fmtid="{D5CDD505-2E9C-101B-9397-08002B2CF9AE}" pid="4" name="KSOTemplateDocerSaveRecord">
    <vt:lpwstr>eyJoZGlkIjoiNWQ2YWM2MDZmMTJkNTVlNjZjMDhiNzVmZWQ5Nzg5OTEiLCJ1c2VySWQiOiIxNzIyNDMzNjY5In0=</vt:lpwstr>
  </property>
</Properties>
</file>