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F4AF3">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ascii="Times New Roman" w:hAnsi="Times New Roman" w:eastAsia="方正小标宋简体" w:cs="Times New Roman"/>
          <w:b w:val="0"/>
          <w:bCs w:val="0"/>
          <w:sz w:val="44"/>
          <w:szCs w:val="44"/>
        </w:rPr>
      </w:pPr>
      <w:r>
        <w:rPr>
          <w:rFonts w:ascii="Times New Roman" w:hAnsi="Times New Roman" w:eastAsia="方正小标宋简体" w:cs="Times New Roman"/>
          <w:b w:val="0"/>
          <w:bCs w:val="0"/>
          <w:sz w:val="44"/>
          <w:szCs w:val="44"/>
        </w:rPr>
        <w:t>柳州市</w:t>
      </w:r>
      <w:r>
        <w:rPr>
          <w:rFonts w:hint="eastAsia" w:ascii="Times New Roman" w:hAnsi="Times New Roman" w:eastAsia="方正小标宋简体" w:cs="Times New Roman"/>
          <w:b w:val="0"/>
          <w:bCs w:val="0"/>
          <w:sz w:val="44"/>
          <w:szCs w:val="44"/>
        </w:rPr>
        <w:t>鱼峰</w:t>
      </w:r>
      <w:r>
        <w:rPr>
          <w:rFonts w:ascii="Times New Roman" w:hAnsi="Times New Roman" w:eastAsia="方正小标宋简体" w:cs="Times New Roman"/>
          <w:b w:val="0"/>
          <w:bCs w:val="0"/>
          <w:sz w:val="44"/>
          <w:szCs w:val="44"/>
        </w:rPr>
        <w:t>区202</w:t>
      </w:r>
      <w:r>
        <w:rPr>
          <w:rFonts w:hint="eastAsia" w:ascii="Times New Roman" w:hAnsi="Times New Roman" w:eastAsia="方正小标宋简体" w:cs="Times New Roman"/>
          <w:b w:val="0"/>
          <w:bCs w:val="0"/>
          <w:sz w:val="44"/>
          <w:szCs w:val="44"/>
        </w:rPr>
        <w:t>6</w:t>
      </w:r>
      <w:r>
        <w:rPr>
          <w:rFonts w:ascii="Times New Roman" w:hAnsi="Times New Roman" w:eastAsia="方正小标宋简体" w:cs="Times New Roman"/>
          <w:b w:val="0"/>
          <w:bCs w:val="0"/>
          <w:sz w:val="44"/>
          <w:szCs w:val="44"/>
        </w:rPr>
        <w:t>年农作物秸秆综合</w:t>
      </w:r>
    </w:p>
    <w:p w14:paraId="41FE7F80">
      <w:pPr>
        <w:keepNext w:val="0"/>
        <w:keepLines w:val="0"/>
        <w:pageBreakBefore w:val="0"/>
        <w:widowControl w:val="0"/>
        <w:kinsoku/>
        <w:wordWrap/>
        <w:overflowPunct/>
        <w:topLinePunct w:val="0"/>
        <w:autoSpaceDE/>
        <w:autoSpaceDN/>
        <w:bidi w:val="0"/>
        <w:adjustRightInd/>
        <w:snapToGrid/>
        <w:spacing w:line="560" w:lineRule="exact"/>
        <w:ind w:left="0" w:leftChars="0" w:firstLine="880" w:firstLineChars="200"/>
        <w:jc w:val="center"/>
        <w:textAlignment w:val="auto"/>
        <w:rPr>
          <w:rFonts w:ascii="Times New Roman" w:hAnsi="Times New Roman" w:eastAsia="方正小标宋简体" w:cs="Times New Roman"/>
          <w:b w:val="0"/>
          <w:bCs w:val="0"/>
          <w:sz w:val="44"/>
          <w:szCs w:val="44"/>
        </w:rPr>
      </w:pPr>
      <w:r>
        <w:rPr>
          <w:rFonts w:ascii="Times New Roman" w:hAnsi="Times New Roman" w:eastAsia="方正小标宋简体" w:cs="Times New Roman"/>
          <w:b w:val="0"/>
          <w:bCs w:val="0"/>
          <w:sz w:val="44"/>
          <w:szCs w:val="44"/>
        </w:rPr>
        <w:t>利用项目实施方案</w:t>
      </w:r>
    </w:p>
    <w:p w14:paraId="2C15B6D3">
      <w:pPr>
        <w:pStyle w:val="2"/>
        <w:keepNext w:val="0"/>
        <w:keepLines w:val="0"/>
        <w:pageBreakBefore w:val="0"/>
        <w:kinsoku/>
        <w:wordWrap/>
        <w:overflowPunct/>
        <w:topLinePunct w:val="0"/>
        <w:autoSpaceDE/>
        <w:autoSpaceDN/>
        <w:bidi w:val="0"/>
        <w:spacing w:line="560" w:lineRule="exact"/>
        <w:ind w:left="0" w:leftChars="0"/>
        <w:textAlignment w:val="auto"/>
      </w:pPr>
    </w:p>
    <w:p w14:paraId="1625A01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仿宋_GB2312"/>
          <w:b w:val="0"/>
          <w:bCs w:val="0"/>
          <w:sz w:val="32"/>
          <w:szCs w:val="32"/>
        </w:rPr>
      </w:pPr>
      <w:r>
        <w:rPr>
          <w:rFonts w:ascii="Times New Roman" w:hAnsi="Times New Roman" w:eastAsia="仿宋_GB2312"/>
          <w:b w:val="0"/>
          <w:bCs w:val="0"/>
          <w:sz w:val="32"/>
          <w:szCs w:val="32"/>
        </w:rPr>
        <w:t>根据</w:t>
      </w:r>
      <w:r>
        <w:rPr>
          <w:rFonts w:hint="eastAsia" w:ascii="Times New Roman" w:hAnsi="Times New Roman" w:eastAsia="仿宋_GB2312"/>
          <w:b w:val="0"/>
          <w:bCs w:val="0"/>
          <w:sz w:val="32"/>
          <w:szCs w:val="32"/>
        </w:rPr>
        <w:t>《广西壮族自治区农业农村厅办公室关于印发</w:t>
      </w:r>
      <w:r>
        <w:rPr>
          <w:rFonts w:ascii="Times New Roman" w:hAnsi="Times New Roman" w:eastAsia="仿宋_GB2312" w:cs="Times New Roman"/>
          <w:b w:val="0"/>
          <w:bCs w:val="0"/>
          <w:sz w:val="32"/>
          <w:szCs w:val="32"/>
        </w:rPr>
        <w:t>2026</w:t>
      </w:r>
      <w:r>
        <w:rPr>
          <w:rFonts w:hint="eastAsia" w:ascii="Times New Roman" w:hAnsi="Times New Roman" w:eastAsia="仿宋_GB2312"/>
          <w:b w:val="0"/>
          <w:bCs w:val="0"/>
          <w:sz w:val="32"/>
          <w:szCs w:val="32"/>
        </w:rPr>
        <w:t>年广西农作物秸秆综合利用项目实施方案的通知》（</w:t>
      </w:r>
      <w:r>
        <w:rPr>
          <w:rFonts w:ascii="Times New Roman" w:hAnsi="Times New Roman" w:eastAsia="仿宋_GB2312" w:cs="仿宋_GB2312"/>
          <w:b w:val="0"/>
          <w:bCs w:val="0"/>
          <w:color w:val="000000"/>
          <w:kern w:val="0"/>
          <w:sz w:val="32"/>
          <w:szCs w:val="32"/>
          <w:lang w:bidi="ar"/>
        </w:rPr>
        <w:t>桂农</w:t>
      </w:r>
      <w:r>
        <w:rPr>
          <w:rFonts w:hint="eastAsia" w:ascii="Times New Roman" w:hAnsi="Times New Roman" w:eastAsia="仿宋_GB2312" w:cs="仿宋_GB2312"/>
          <w:b w:val="0"/>
          <w:bCs w:val="0"/>
          <w:color w:val="000000"/>
          <w:kern w:val="0"/>
          <w:sz w:val="32"/>
          <w:szCs w:val="32"/>
          <w:lang w:bidi="ar"/>
        </w:rPr>
        <w:t>厅办发</w:t>
      </w:r>
      <w:r>
        <w:rPr>
          <w:rFonts w:ascii="Times New Roman" w:hAnsi="Times New Roman" w:eastAsia="仿宋_GB2312" w:cs="Times New Roman"/>
          <w:b w:val="0"/>
          <w:bCs w:val="0"/>
          <w:color w:val="000000"/>
          <w:kern w:val="0"/>
          <w:sz w:val="32"/>
          <w:szCs w:val="32"/>
          <w:lang w:bidi="ar"/>
        </w:rPr>
        <w:t>〔2026〕</w:t>
      </w:r>
      <w:r>
        <w:rPr>
          <w:rFonts w:hint="eastAsia" w:ascii="Times New Roman" w:hAnsi="Times New Roman" w:eastAsia="仿宋_GB2312" w:cs="Times New Roman"/>
          <w:b w:val="0"/>
          <w:bCs w:val="0"/>
          <w:color w:val="000000"/>
          <w:kern w:val="0"/>
          <w:sz w:val="32"/>
          <w:szCs w:val="32"/>
          <w:lang w:bidi="ar"/>
        </w:rPr>
        <w:t>70</w:t>
      </w:r>
      <w:r>
        <w:rPr>
          <w:rFonts w:ascii="Times New Roman" w:hAnsi="Times New Roman" w:eastAsia="仿宋_GB2312" w:cs="仿宋_GB2312"/>
          <w:b w:val="0"/>
          <w:bCs w:val="0"/>
          <w:color w:val="000000"/>
          <w:kern w:val="0"/>
          <w:sz w:val="32"/>
          <w:szCs w:val="32"/>
          <w:lang w:bidi="ar"/>
        </w:rPr>
        <w:t>号</w:t>
      </w:r>
      <w:r>
        <w:rPr>
          <w:rFonts w:hint="eastAsia" w:ascii="Times New Roman" w:hAnsi="Times New Roman" w:eastAsia="仿宋_GB2312"/>
          <w:b w:val="0"/>
          <w:bCs w:val="0"/>
          <w:sz w:val="32"/>
          <w:szCs w:val="32"/>
        </w:rPr>
        <w:t>）</w:t>
      </w:r>
      <w:r>
        <w:rPr>
          <w:rFonts w:hint="eastAsia" w:ascii="Times New Roman" w:hAnsi="Times New Roman" w:eastAsia="仿宋_GB2312"/>
          <w:b w:val="0"/>
          <w:bCs w:val="0"/>
          <w:sz w:val="32"/>
          <w:szCs w:val="32"/>
          <w:lang w:val="en-US" w:eastAsia="zh-CN"/>
        </w:rPr>
        <w:t>和</w:t>
      </w:r>
      <w:r>
        <w:rPr>
          <w:rFonts w:ascii="Times New Roman" w:hAnsi="Times New Roman" w:eastAsia="仿宋_GB2312"/>
          <w:b w:val="0"/>
          <w:bCs w:val="0"/>
          <w:sz w:val="32"/>
          <w:szCs w:val="32"/>
        </w:rPr>
        <w:t>《广西壮族自治区财政厅关于</w:t>
      </w:r>
      <w:r>
        <w:rPr>
          <w:rFonts w:hint="eastAsia" w:ascii="Times New Roman" w:hAnsi="Times New Roman" w:eastAsia="仿宋_GB2312"/>
          <w:b w:val="0"/>
          <w:bCs w:val="0"/>
          <w:sz w:val="32"/>
          <w:szCs w:val="32"/>
        </w:rPr>
        <w:t>预</w:t>
      </w:r>
      <w:r>
        <w:rPr>
          <w:rFonts w:ascii="Times New Roman" w:hAnsi="Times New Roman" w:eastAsia="仿宋_GB2312"/>
          <w:b w:val="0"/>
          <w:bCs w:val="0"/>
          <w:sz w:val="32"/>
          <w:szCs w:val="32"/>
        </w:rPr>
        <w:t>下达2026年</w:t>
      </w:r>
      <w:r>
        <w:rPr>
          <w:rFonts w:hint="eastAsia" w:ascii="Times New Roman" w:hAnsi="Times New Roman" w:eastAsia="仿宋_GB2312"/>
          <w:b w:val="0"/>
          <w:bCs w:val="0"/>
          <w:sz w:val="32"/>
          <w:szCs w:val="32"/>
        </w:rPr>
        <w:t>第二批中央农业相关</w:t>
      </w:r>
      <w:r>
        <w:rPr>
          <w:rFonts w:ascii="Times New Roman" w:hAnsi="Times New Roman" w:eastAsia="仿宋_GB2312"/>
          <w:b w:val="0"/>
          <w:bCs w:val="0"/>
          <w:sz w:val="32"/>
          <w:szCs w:val="32"/>
        </w:rPr>
        <w:t>转移支付资金的通知》（桂财农</w:t>
      </w:r>
      <w:r>
        <w:rPr>
          <w:rFonts w:ascii="Times New Roman" w:hAnsi="Times New Roman" w:eastAsia="仿宋_GB2312" w:cs="Times New Roman"/>
          <w:b w:val="0"/>
          <w:bCs w:val="0"/>
          <w:color w:val="000000"/>
          <w:kern w:val="0"/>
          <w:sz w:val="32"/>
          <w:szCs w:val="32"/>
          <w:lang w:bidi="ar"/>
        </w:rPr>
        <w:t>〔2026〕</w:t>
      </w:r>
      <w:r>
        <w:rPr>
          <w:rFonts w:hint="eastAsia" w:ascii="Times New Roman" w:hAnsi="Times New Roman" w:eastAsia="仿宋_GB2312"/>
          <w:b w:val="0"/>
          <w:bCs w:val="0"/>
          <w:sz w:val="32"/>
          <w:szCs w:val="32"/>
        </w:rPr>
        <w:t>33</w:t>
      </w:r>
      <w:r>
        <w:rPr>
          <w:rFonts w:ascii="Times New Roman" w:hAnsi="Times New Roman" w:eastAsia="仿宋_GB2312"/>
          <w:b w:val="0"/>
          <w:bCs w:val="0"/>
          <w:sz w:val="32"/>
          <w:szCs w:val="32"/>
        </w:rPr>
        <w:t>号）文件</w:t>
      </w:r>
      <w:r>
        <w:rPr>
          <w:rFonts w:hint="eastAsia" w:ascii="Times New Roman" w:hAnsi="Times New Roman" w:eastAsia="仿宋_GB2312"/>
          <w:b w:val="0"/>
          <w:bCs w:val="0"/>
          <w:sz w:val="32"/>
          <w:szCs w:val="32"/>
        </w:rPr>
        <w:t>要求</w:t>
      </w:r>
      <w:r>
        <w:rPr>
          <w:rFonts w:ascii="Times New Roman" w:hAnsi="Times New Roman" w:eastAsia="仿宋_GB2312"/>
          <w:b w:val="0"/>
          <w:bCs w:val="0"/>
          <w:sz w:val="32"/>
          <w:szCs w:val="32"/>
        </w:rPr>
        <w:t>，结合</w:t>
      </w:r>
      <w:r>
        <w:rPr>
          <w:rFonts w:hint="eastAsia" w:ascii="Times New Roman" w:hAnsi="Times New Roman" w:eastAsia="仿宋_GB2312"/>
          <w:b w:val="0"/>
          <w:bCs w:val="0"/>
          <w:sz w:val="32"/>
          <w:szCs w:val="32"/>
        </w:rPr>
        <w:t>鱼峰</w:t>
      </w:r>
      <w:r>
        <w:rPr>
          <w:rFonts w:ascii="Times New Roman" w:hAnsi="Times New Roman" w:eastAsia="仿宋_GB2312"/>
          <w:b w:val="0"/>
          <w:bCs w:val="0"/>
          <w:sz w:val="32"/>
          <w:szCs w:val="32"/>
        </w:rPr>
        <w:t>区实际情况，制定本方案。</w:t>
      </w:r>
    </w:p>
    <w:p w14:paraId="4CA58C51">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黑体"/>
          <w:b w:val="0"/>
          <w:bCs w:val="0"/>
          <w:sz w:val="32"/>
          <w:szCs w:val="32"/>
        </w:rPr>
      </w:pPr>
      <w:r>
        <w:rPr>
          <w:rFonts w:ascii="Times New Roman" w:hAnsi="Times New Roman" w:eastAsia="黑体"/>
          <w:b w:val="0"/>
          <w:bCs w:val="0"/>
          <w:sz w:val="32"/>
          <w:szCs w:val="32"/>
        </w:rPr>
        <w:t>一、指导思想</w:t>
      </w:r>
    </w:p>
    <w:p w14:paraId="0E48614B">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仿宋_GB2312"/>
          <w:b w:val="0"/>
          <w:bCs w:val="0"/>
          <w:sz w:val="32"/>
          <w:szCs w:val="32"/>
        </w:rPr>
      </w:pPr>
      <w:r>
        <w:rPr>
          <w:rFonts w:ascii="Times New Roman" w:hAnsi="Times New Roman" w:eastAsia="仿宋_GB2312"/>
          <w:b w:val="0"/>
          <w:bCs w:val="0"/>
          <w:sz w:val="32"/>
          <w:szCs w:val="32"/>
        </w:rPr>
        <w:t>坚持以习近平新时代中国特色社会主义思想为指导，全面贯彻党的二十大及二十届三中全会精神，深入贯彻落实习近平生态文明思想和关于“三农”工作的重要论述，立足新发展阶段，完整、准确、全面贯彻新发展理念。紧紧围绕中央、自治区及柳州市关于全面推进乡村振兴、加快建设农业强国的战略部署，以及加强农业面源污染治理与生态环境保护的具体要求。将农作物秸秆综合利用作为推动农业绿色低碳循环发展、改善农村人居环境、促进农业提质增效与农民增收的重要抓手。</w:t>
      </w:r>
    </w:p>
    <w:p w14:paraId="2F4E765E">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黑体"/>
          <w:b w:val="0"/>
          <w:bCs w:val="0"/>
          <w:sz w:val="32"/>
          <w:szCs w:val="32"/>
        </w:rPr>
      </w:pPr>
      <w:r>
        <w:rPr>
          <w:rFonts w:ascii="Times New Roman" w:hAnsi="Times New Roman" w:eastAsia="黑体"/>
          <w:b w:val="0"/>
          <w:bCs w:val="0"/>
          <w:sz w:val="32"/>
          <w:szCs w:val="32"/>
        </w:rPr>
        <w:t>二、工作目标</w:t>
      </w:r>
    </w:p>
    <w:p w14:paraId="17ABD42E">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通过实施农作物秸秆综合利用项目，完善区域秸秆收储网络，探索秸秆集中收储、加工处理、多元利用高效模式，健全秸秆集中收储运体系，提升秸秆加工处理技术，拓宽秸秆多元化利用途径，促进秸秆综合利用产业效益进一步提升。2026年，培育规模300吨以上秸秆收集队伍2支（含续建、新建），培育规模千吨以上多元利用主体2个（含续建、新建），建设秸秆腐熟还田展示区单个300亩以上2个</w:t>
      </w:r>
      <w:r>
        <w:rPr>
          <w:rFonts w:hint="eastAsia" w:ascii="Times New Roman" w:hAnsi="Times New Roman" w:eastAsia="仿宋_GB2312" w:cs="仿宋_GB2312"/>
          <w:b w:val="0"/>
          <w:bCs w:val="0"/>
          <w:sz w:val="32"/>
          <w:szCs w:val="32"/>
          <w:lang w:val="en-US" w:eastAsia="zh-CN"/>
        </w:rPr>
        <w:t>，</w:t>
      </w:r>
      <w:r>
        <w:rPr>
          <w:rFonts w:hint="default" w:ascii="Times New Roman" w:hAnsi="Times New Roman" w:eastAsia="仿宋_GB2312" w:cs="仿宋_GB2312"/>
          <w:b w:val="0"/>
          <w:bCs w:val="0"/>
          <w:sz w:val="32"/>
          <w:szCs w:val="32"/>
        </w:rPr>
        <w:t>建设秸秆资源台账一套，年内在市级以上媒体宣传1次</w:t>
      </w:r>
      <w:r>
        <w:rPr>
          <w:rFonts w:hint="eastAsia" w:ascii="Times New Roman" w:hAnsi="Times New Roman" w:eastAsia="仿宋_GB2312" w:cs="仿宋_GB2312"/>
          <w:b w:val="0"/>
          <w:bCs w:val="0"/>
          <w:sz w:val="32"/>
          <w:szCs w:val="32"/>
          <w:lang w:val="en-US" w:eastAsia="zh-CN"/>
        </w:rPr>
        <w:t>，</w:t>
      </w:r>
      <w:r>
        <w:rPr>
          <w:rFonts w:hint="eastAsia" w:ascii="Times New Roman" w:hAnsi="Times New Roman" w:eastAsia="仿宋_GB2312" w:cs="仿宋_GB2312"/>
          <w:b w:val="0"/>
          <w:bCs w:val="0"/>
          <w:sz w:val="32"/>
          <w:szCs w:val="32"/>
        </w:rPr>
        <w:t>推动全区秸秆综合利用率达到90%以上或较上年提高5个百分点</w:t>
      </w:r>
      <w:r>
        <w:rPr>
          <w:rFonts w:hint="default" w:ascii="Times New Roman" w:hAnsi="Times New Roman" w:eastAsia="仿宋_GB2312" w:cs="仿宋_GB2312"/>
          <w:b w:val="0"/>
          <w:bCs w:val="0"/>
          <w:sz w:val="32"/>
          <w:szCs w:val="32"/>
        </w:rPr>
        <w:t>。</w:t>
      </w:r>
    </w:p>
    <w:p w14:paraId="63B9F113">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rPr>
        <w:t>三、</w:t>
      </w:r>
      <w:r>
        <w:rPr>
          <w:rFonts w:hint="eastAsia" w:ascii="Times New Roman" w:hAnsi="Times New Roman" w:eastAsia="黑体" w:cs="黑体"/>
          <w:b w:val="0"/>
          <w:bCs w:val="0"/>
          <w:sz w:val="32"/>
          <w:szCs w:val="32"/>
          <w:lang w:val="en-US" w:eastAsia="zh-CN"/>
        </w:rPr>
        <w:t>项目</w:t>
      </w:r>
      <w:r>
        <w:rPr>
          <w:rFonts w:hint="eastAsia" w:ascii="Times New Roman" w:hAnsi="Times New Roman" w:eastAsia="黑体" w:cs="黑体"/>
          <w:b w:val="0"/>
          <w:bCs w:val="0"/>
          <w:sz w:val="32"/>
          <w:szCs w:val="32"/>
        </w:rPr>
        <w:t>建设内容</w:t>
      </w:r>
    </w:p>
    <w:p w14:paraId="31443FBE">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rPr>
        <w:t>（一）扶持壮大市场化利用主体</w:t>
      </w:r>
      <w:r>
        <w:rPr>
          <w:rFonts w:hint="eastAsia" w:ascii="楷体_GB2312" w:hAnsi="楷体_GB2312" w:eastAsia="楷体_GB2312" w:cs="楷体_GB2312"/>
          <w:b w:val="0"/>
          <w:bCs w:val="0"/>
          <w:sz w:val="32"/>
          <w:szCs w:val="32"/>
          <w:lang w:eastAsia="zh-CN"/>
        </w:rPr>
        <w:t>。</w:t>
      </w:r>
    </w:p>
    <w:p w14:paraId="523005C6">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b w:val="0"/>
          <w:bCs w:val="0"/>
          <w:sz w:val="32"/>
          <w:szCs w:val="32"/>
        </w:rPr>
      </w:pPr>
      <w:r>
        <w:rPr>
          <w:rFonts w:hint="default" w:ascii="Times New Roman" w:hAnsi="Times New Roman" w:eastAsia="仿宋_GB2312"/>
          <w:b w:val="0"/>
          <w:bCs w:val="0"/>
          <w:sz w:val="32"/>
          <w:szCs w:val="32"/>
        </w:rPr>
        <w:t>加大对秸秆离田收储、加工利用经营主体扶持力度，同步培育玉米秸秆、蔗叶等秸秆饲料化、燃料化、基料化、原料化、肥料化多元利用市场主体。通过以奖代补方式，对秸秆收储运、加工转化各环节给予专项资金补助，充分激活市场主体内生动力，引导经营主体扩容提质、拓宽秸秆资源化利用路径</w:t>
      </w:r>
      <w:r>
        <w:rPr>
          <w:rFonts w:hint="eastAsia" w:ascii="Times New Roman" w:hAnsi="Times New Roman" w:eastAsia="仿宋_GB2312"/>
          <w:b w:val="0"/>
          <w:bCs w:val="0"/>
          <w:sz w:val="32"/>
          <w:szCs w:val="32"/>
          <w:lang w:eastAsia="zh-CN"/>
        </w:rPr>
        <w:t>，</w:t>
      </w:r>
      <w:r>
        <w:rPr>
          <w:rFonts w:hint="default" w:ascii="Times New Roman" w:hAnsi="Times New Roman" w:eastAsia="仿宋_GB2312"/>
          <w:b w:val="0"/>
          <w:bCs w:val="0"/>
          <w:sz w:val="32"/>
          <w:szCs w:val="32"/>
        </w:rPr>
        <w:t>力争实现年秸秆</w:t>
      </w:r>
      <w:r>
        <w:rPr>
          <w:rFonts w:hint="eastAsia" w:ascii="Times New Roman" w:hAnsi="Times New Roman" w:eastAsia="仿宋_GB2312"/>
          <w:b w:val="0"/>
          <w:bCs w:val="0"/>
          <w:sz w:val="32"/>
          <w:szCs w:val="32"/>
          <w:lang w:val="en-US" w:eastAsia="zh-CN"/>
        </w:rPr>
        <w:t>多元化</w:t>
      </w:r>
      <w:r>
        <w:rPr>
          <w:rFonts w:hint="default" w:ascii="Times New Roman" w:hAnsi="Times New Roman" w:eastAsia="仿宋_GB2312"/>
          <w:b w:val="0"/>
          <w:bCs w:val="0"/>
          <w:sz w:val="32"/>
          <w:szCs w:val="32"/>
        </w:rPr>
        <w:t>利用量</w:t>
      </w:r>
      <w:r>
        <w:rPr>
          <w:rFonts w:hint="eastAsia" w:ascii="Times New Roman" w:hAnsi="Times New Roman" w:eastAsia="仿宋_GB2312"/>
          <w:b w:val="0"/>
          <w:bCs w:val="0"/>
          <w:sz w:val="32"/>
          <w:szCs w:val="32"/>
          <w:lang w:val="en-US" w:eastAsia="zh-CN"/>
        </w:rPr>
        <w:t>0.36</w:t>
      </w:r>
      <w:r>
        <w:rPr>
          <w:rFonts w:hint="default" w:ascii="Times New Roman" w:hAnsi="Times New Roman" w:eastAsia="仿宋_GB2312"/>
          <w:b w:val="0"/>
          <w:bCs w:val="0"/>
          <w:sz w:val="32"/>
          <w:szCs w:val="32"/>
        </w:rPr>
        <w:t>万吨。</w:t>
      </w:r>
    </w:p>
    <w:p w14:paraId="475505E6">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二）</w:t>
      </w:r>
      <w:r>
        <w:rPr>
          <w:rFonts w:hint="default" w:ascii="楷体_GB2312" w:hAnsi="楷体_GB2312" w:eastAsia="楷体_GB2312" w:cs="楷体_GB2312"/>
          <w:b w:val="0"/>
          <w:bCs w:val="0"/>
          <w:sz w:val="32"/>
          <w:szCs w:val="32"/>
        </w:rPr>
        <w:t>提高收储能力，培育收储队伍</w:t>
      </w:r>
      <w:r>
        <w:rPr>
          <w:rFonts w:hint="eastAsia" w:ascii="楷体_GB2312" w:hAnsi="楷体_GB2312" w:eastAsia="楷体_GB2312" w:cs="楷体_GB2312"/>
          <w:b w:val="0"/>
          <w:bCs w:val="0"/>
          <w:sz w:val="32"/>
          <w:szCs w:val="32"/>
          <w:lang w:eastAsia="zh-CN"/>
        </w:rPr>
        <w:t>。</w:t>
      </w:r>
    </w:p>
    <w:p w14:paraId="63A653B7">
      <w:pPr>
        <w:pStyle w:val="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b w:val="0"/>
          <w:bCs w:val="0"/>
          <w:sz w:val="32"/>
          <w:szCs w:val="32"/>
        </w:rPr>
      </w:pPr>
      <w:r>
        <w:rPr>
          <w:rFonts w:hint="eastAsia" w:ascii="Times New Roman" w:hAnsi="Times New Roman" w:eastAsia="仿宋_GB2312"/>
          <w:b w:val="0"/>
          <w:bCs w:val="0"/>
          <w:sz w:val="32"/>
          <w:szCs w:val="32"/>
        </w:rPr>
        <w:t>聚焦秸秆高效收储、规范转运，构建以骨干企业为核心、专业化服务为支撑的秸秆收储队伍体系。以机械打捆离田、分步式机收离田收储为主要作业模式</w:t>
      </w:r>
      <w:r>
        <w:rPr>
          <w:rFonts w:hint="eastAsia" w:ascii="Times New Roman" w:hAnsi="Times New Roman" w:eastAsia="仿宋_GB2312"/>
          <w:b w:val="0"/>
          <w:bCs w:val="0"/>
          <w:sz w:val="32"/>
          <w:szCs w:val="32"/>
          <w:lang w:eastAsia="zh-CN"/>
        </w:rPr>
        <w:t>。</w:t>
      </w:r>
      <w:r>
        <w:rPr>
          <w:rFonts w:hint="eastAsia" w:ascii="Times New Roman" w:hAnsi="Times New Roman" w:eastAsia="仿宋_GB2312"/>
          <w:b w:val="0"/>
          <w:bCs w:val="0"/>
          <w:sz w:val="32"/>
          <w:szCs w:val="32"/>
        </w:rPr>
        <w:t>依托重点企业组建专职收储队伍，统筹负责辖区秸秆集中收储工作。引导</w:t>
      </w:r>
      <w:r>
        <w:rPr>
          <w:rFonts w:hint="eastAsia" w:ascii="Times New Roman" w:hAnsi="Times New Roman" w:eastAsia="仿宋_GB2312"/>
          <w:b w:val="0"/>
          <w:bCs w:val="0"/>
          <w:sz w:val="32"/>
          <w:szCs w:val="32"/>
          <w:lang w:val="en-US" w:eastAsia="zh-CN"/>
        </w:rPr>
        <w:t>重点</w:t>
      </w:r>
      <w:r>
        <w:rPr>
          <w:rFonts w:hint="eastAsia" w:ascii="Times New Roman" w:hAnsi="Times New Roman" w:eastAsia="仿宋_GB2312"/>
          <w:b w:val="0"/>
          <w:bCs w:val="0"/>
          <w:sz w:val="32"/>
          <w:szCs w:val="32"/>
        </w:rPr>
        <w:t>企业吸纳周边农户、农机手参与秸秆收储作业，常态化开展操作技能培训，统一规范作业流程标准，建成设备完备、技术过硬、服务高效的专业化收储队伍，夯实秸秆资源化利用人力、设备技术保障。</w:t>
      </w:r>
      <w:r>
        <w:rPr>
          <w:rFonts w:hint="default" w:ascii="Times New Roman" w:hAnsi="Times New Roman" w:eastAsia="仿宋_GB2312"/>
          <w:b w:val="0"/>
          <w:bCs w:val="0"/>
          <w:sz w:val="32"/>
          <w:szCs w:val="32"/>
        </w:rPr>
        <w:t>力争实现年秸秆</w:t>
      </w:r>
      <w:r>
        <w:rPr>
          <w:rFonts w:hint="eastAsia" w:ascii="Times New Roman" w:hAnsi="Times New Roman" w:eastAsia="仿宋_GB2312"/>
          <w:b w:val="0"/>
          <w:bCs w:val="0"/>
          <w:sz w:val="32"/>
          <w:szCs w:val="32"/>
          <w:lang w:val="en-US" w:eastAsia="zh-CN"/>
        </w:rPr>
        <w:t>离田收储</w:t>
      </w:r>
      <w:r>
        <w:rPr>
          <w:rFonts w:hint="default" w:ascii="Times New Roman" w:hAnsi="Times New Roman" w:eastAsia="仿宋_GB2312"/>
          <w:b w:val="0"/>
          <w:bCs w:val="0"/>
          <w:sz w:val="32"/>
          <w:szCs w:val="32"/>
        </w:rPr>
        <w:t>量</w:t>
      </w:r>
      <w:r>
        <w:rPr>
          <w:rFonts w:hint="eastAsia" w:ascii="Times New Roman" w:hAnsi="Times New Roman" w:eastAsia="仿宋_GB2312"/>
          <w:b w:val="0"/>
          <w:bCs w:val="0"/>
          <w:sz w:val="32"/>
          <w:szCs w:val="32"/>
          <w:lang w:val="en-US" w:eastAsia="zh-CN"/>
        </w:rPr>
        <w:t>0.604</w:t>
      </w:r>
      <w:r>
        <w:rPr>
          <w:rFonts w:hint="default" w:ascii="Times New Roman" w:hAnsi="Times New Roman" w:eastAsia="仿宋_GB2312"/>
          <w:b w:val="0"/>
          <w:bCs w:val="0"/>
          <w:sz w:val="32"/>
          <w:szCs w:val="32"/>
        </w:rPr>
        <w:t>万吨。</w:t>
      </w:r>
    </w:p>
    <w:p w14:paraId="6E1211C1">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val="en-US" w:eastAsia="zh-CN"/>
        </w:rPr>
        <w:t>三</w:t>
      </w:r>
      <w:r>
        <w:rPr>
          <w:rFonts w:hint="eastAsia" w:ascii="楷体_GB2312" w:hAnsi="楷体_GB2312" w:eastAsia="楷体_GB2312" w:cs="楷体_GB2312"/>
          <w:b w:val="0"/>
          <w:bCs w:val="0"/>
          <w:sz w:val="32"/>
          <w:szCs w:val="32"/>
        </w:rPr>
        <w:t>）推广秸秆腐熟还田技术</w:t>
      </w:r>
      <w:r>
        <w:rPr>
          <w:rFonts w:hint="eastAsia" w:ascii="楷体_GB2312" w:hAnsi="楷体_GB2312" w:eastAsia="楷体_GB2312" w:cs="楷体_GB2312"/>
          <w:b w:val="0"/>
          <w:bCs w:val="0"/>
          <w:sz w:val="32"/>
          <w:szCs w:val="32"/>
          <w:lang w:eastAsia="zh-CN"/>
        </w:rPr>
        <w:t>。</w:t>
      </w:r>
    </w:p>
    <w:p w14:paraId="6D8CD8BD">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b w:val="0"/>
          <w:bCs w:val="0"/>
          <w:sz w:val="32"/>
          <w:szCs w:val="32"/>
        </w:rPr>
      </w:pPr>
      <w:r>
        <w:rPr>
          <w:rFonts w:hint="eastAsia" w:ascii="Times New Roman" w:hAnsi="Times New Roman" w:eastAsia="仿宋_GB2312"/>
          <w:b w:val="0"/>
          <w:bCs w:val="0"/>
          <w:sz w:val="32"/>
          <w:szCs w:val="32"/>
        </w:rPr>
        <w:t>在辖区范围内遴选实施地块，建设秸秆腐熟还田展示区单个300亩以上2个。加强技术指导与作业服务，推广秸秆快速腐解还田技术，实现秸秆就地、无害化、资源化利用，提升土壤有机质。</w:t>
      </w:r>
    </w:p>
    <w:p w14:paraId="6E563955">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val="en-US" w:eastAsia="zh-CN"/>
        </w:rPr>
        <w:t>四</w:t>
      </w:r>
      <w:r>
        <w:rPr>
          <w:rFonts w:hint="eastAsia" w:ascii="楷体_GB2312" w:hAnsi="楷体_GB2312" w:eastAsia="楷体_GB2312" w:cs="楷体_GB2312"/>
          <w:b w:val="0"/>
          <w:bCs w:val="0"/>
          <w:sz w:val="32"/>
          <w:szCs w:val="32"/>
        </w:rPr>
        <w:t>）夯实资源数据基础</w:t>
      </w:r>
      <w:r>
        <w:rPr>
          <w:rFonts w:hint="eastAsia" w:ascii="楷体_GB2312" w:hAnsi="楷体_GB2312" w:eastAsia="楷体_GB2312" w:cs="楷体_GB2312"/>
          <w:b w:val="0"/>
          <w:bCs w:val="0"/>
          <w:sz w:val="32"/>
          <w:szCs w:val="32"/>
          <w:lang w:eastAsia="zh-CN"/>
        </w:rPr>
        <w:t>。</w:t>
      </w:r>
    </w:p>
    <w:p w14:paraId="562E619F">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b w:val="0"/>
          <w:bCs w:val="0"/>
          <w:sz w:val="32"/>
          <w:szCs w:val="32"/>
          <w:lang w:eastAsia="zh-CN"/>
        </w:rPr>
      </w:pPr>
      <w:r>
        <w:rPr>
          <w:rFonts w:ascii="Times New Roman" w:hAnsi="Times New Roman" w:eastAsia="仿宋_GB2312"/>
          <w:b w:val="0"/>
          <w:bCs w:val="0"/>
          <w:sz w:val="32"/>
          <w:szCs w:val="32"/>
        </w:rPr>
        <w:t>持续完善</w:t>
      </w:r>
      <w:r>
        <w:rPr>
          <w:rFonts w:hint="eastAsia" w:ascii="Times New Roman" w:hAnsi="Times New Roman" w:eastAsia="仿宋_GB2312"/>
          <w:b w:val="0"/>
          <w:bCs w:val="0"/>
          <w:sz w:val="32"/>
          <w:szCs w:val="32"/>
        </w:rPr>
        <w:t>鱼峰</w:t>
      </w:r>
      <w:r>
        <w:rPr>
          <w:rFonts w:ascii="Times New Roman" w:hAnsi="Times New Roman" w:eastAsia="仿宋_GB2312"/>
          <w:b w:val="0"/>
          <w:bCs w:val="0"/>
          <w:sz w:val="32"/>
          <w:szCs w:val="32"/>
        </w:rPr>
        <w:t>区秸秆资源产生与利用情况统计调查制度，更新秸秆资源数据台账。结合项目实施，开展2026年度秸秆综合利用情况调查监测，准确掌握秸秆产生量、可收集量、离田利用量及具体去向，为政策评估和持续改进提供数据支撑。</w:t>
      </w:r>
      <w:r>
        <w:rPr>
          <w:rFonts w:hint="eastAsia" w:ascii="Times New Roman" w:hAnsi="Times New Roman" w:eastAsia="仿宋_GB2312"/>
          <w:b w:val="0"/>
          <w:bCs w:val="0"/>
          <w:sz w:val="32"/>
          <w:szCs w:val="32"/>
        </w:rPr>
        <w:t>建设鱼峰区秸秆资源台账1套</w:t>
      </w:r>
      <w:r>
        <w:rPr>
          <w:rFonts w:hint="eastAsia" w:ascii="Times New Roman" w:hAnsi="Times New Roman" w:eastAsia="仿宋_GB2312"/>
          <w:b w:val="0"/>
          <w:bCs w:val="0"/>
          <w:sz w:val="32"/>
          <w:szCs w:val="32"/>
          <w:lang w:eastAsia="zh-CN"/>
        </w:rPr>
        <w:t>。</w:t>
      </w:r>
    </w:p>
    <w:p w14:paraId="6F280B64">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val="en-US" w:eastAsia="zh-CN"/>
        </w:rPr>
        <w:t>五</w:t>
      </w:r>
      <w:r>
        <w:rPr>
          <w:rFonts w:hint="eastAsia" w:ascii="楷体_GB2312" w:hAnsi="楷体_GB2312" w:eastAsia="楷体_GB2312" w:cs="楷体_GB2312"/>
          <w:b w:val="0"/>
          <w:bCs w:val="0"/>
          <w:sz w:val="32"/>
          <w:szCs w:val="32"/>
        </w:rPr>
        <w:t>）强化宣传培训引导</w:t>
      </w:r>
      <w:r>
        <w:rPr>
          <w:rFonts w:hint="eastAsia" w:ascii="楷体_GB2312" w:hAnsi="楷体_GB2312" w:eastAsia="楷体_GB2312" w:cs="楷体_GB2312"/>
          <w:b w:val="0"/>
          <w:bCs w:val="0"/>
          <w:sz w:val="32"/>
          <w:szCs w:val="32"/>
          <w:lang w:eastAsia="zh-CN"/>
        </w:rPr>
        <w:t>。</w:t>
      </w:r>
    </w:p>
    <w:p w14:paraId="1C76230A">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b w:val="0"/>
          <w:bCs w:val="0"/>
          <w:sz w:val="32"/>
          <w:szCs w:val="32"/>
          <w:lang w:eastAsia="zh-CN"/>
        </w:rPr>
      </w:pPr>
      <w:r>
        <w:rPr>
          <w:rFonts w:ascii="Times New Roman" w:hAnsi="Times New Roman" w:eastAsia="仿宋_GB2312"/>
          <w:b w:val="0"/>
          <w:bCs w:val="0"/>
          <w:sz w:val="32"/>
          <w:szCs w:val="32"/>
        </w:rPr>
        <w:t>充分利用展示基地、媒体平台、宣传资料、专题培训班、现场观摩会等多种形式，广泛宣传秸秆综合利用的政策、技术、模式、生态效益及经济效益。重点开展针对基层干部、新型农业经营主体和农民的实用技术培训，营造全社会支持参与秸秆综合利用的良好氛围。</w:t>
      </w:r>
      <w:r>
        <w:rPr>
          <w:rFonts w:hint="eastAsia" w:ascii="Times New Roman" w:hAnsi="Times New Roman" w:eastAsia="仿宋_GB2312"/>
          <w:b w:val="0"/>
          <w:bCs w:val="0"/>
          <w:sz w:val="32"/>
          <w:szCs w:val="32"/>
        </w:rPr>
        <w:t>全年在市级以上媒体宣传1次以上</w:t>
      </w:r>
      <w:r>
        <w:rPr>
          <w:rFonts w:hint="eastAsia" w:ascii="Times New Roman" w:hAnsi="Times New Roman" w:eastAsia="仿宋_GB2312"/>
          <w:b w:val="0"/>
          <w:bCs w:val="0"/>
          <w:sz w:val="32"/>
          <w:szCs w:val="32"/>
          <w:lang w:eastAsia="zh-CN"/>
        </w:rPr>
        <w:t>。</w:t>
      </w:r>
    </w:p>
    <w:p w14:paraId="0975AE46">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b w:val="0"/>
          <w:bCs w:val="0"/>
          <w:sz w:val="32"/>
          <w:szCs w:val="32"/>
          <w:lang w:val="en-US" w:eastAsia="zh-CN"/>
        </w:rPr>
      </w:pPr>
      <w:r>
        <w:rPr>
          <w:rFonts w:ascii="Times New Roman" w:hAnsi="Times New Roman" w:eastAsia="黑体"/>
          <w:b w:val="0"/>
          <w:bCs w:val="0"/>
          <w:sz w:val="32"/>
          <w:szCs w:val="32"/>
        </w:rPr>
        <w:t>四、</w:t>
      </w:r>
      <w:r>
        <w:rPr>
          <w:rFonts w:hint="eastAsia" w:ascii="Times New Roman" w:hAnsi="Times New Roman" w:eastAsia="黑体"/>
          <w:b w:val="0"/>
          <w:bCs w:val="0"/>
          <w:sz w:val="32"/>
          <w:szCs w:val="32"/>
          <w:lang w:val="en-US" w:eastAsia="zh-CN"/>
        </w:rPr>
        <w:t>规范</w:t>
      </w:r>
      <w:r>
        <w:rPr>
          <w:rFonts w:ascii="Times New Roman" w:hAnsi="Times New Roman" w:eastAsia="黑体"/>
          <w:b w:val="0"/>
          <w:bCs w:val="0"/>
          <w:sz w:val="32"/>
          <w:szCs w:val="32"/>
        </w:rPr>
        <w:t>财政资金</w:t>
      </w:r>
      <w:r>
        <w:rPr>
          <w:rFonts w:hint="eastAsia" w:ascii="Times New Roman" w:hAnsi="Times New Roman" w:eastAsia="黑体"/>
          <w:b w:val="0"/>
          <w:bCs w:val="0"/>
          <w:sz w:val="32"/>
          <w:szCs w:val="32"/>
          <w:lang w:val="en-US" w:eastAsia="zh-CN"/>
        </w:rPr>
        <w:t>管理和使用</w:t>
      </w:r>
    </w:p>
    <w:p w14:paraId="3254FD79">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 xml:space="preserve">（一）资金使用计划 </w:t>
      </w:r>
    </w:p>
    <w:p w14:paraId="22D20729">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总投入中央补助资金资金82万元</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资金实行专款专用、规范管理。具体预算明细如下：</w:t>
      </w:r>
    </w:p>
    <w:p w14:paraId="318F4104">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val="en-US" w:eastAsia="zh-CN"/>
        </w:rPr>
        <w:t>1．</w:t>
      </w:r>
      <w:r>
        <w:rPr>
          <w:rFonts w:hint="eastAsia" w:ascii="Times New Roman" w:hAnsi="Times New Roman" w:eastAsia="仿宋_GB2312" w:cs="仿宋_GB2312"/>
          <w:b w:val="0"/>
          <w:bCs w:val="0"/>
          <w:sz w:val="32"/>
          <w:szCs w:val="32"/>
        </w:rPr>
        <w:t>秸秆收储补助</w:t>
      </w:r>
    </w:p>
    <w:p w14:paraId="1FD4CAD7">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收储鱼峰区辖区内水稻、玉米、甘蔗、桑枝等作物秸秆量达300吨（含300吨）以上的收储队或经营主体，补助标准为收储秸秆</w:t>
      </w:r>
      <w:r>
        <w:rPr>
          <w:rFonts w:hint="eastAsia" w:ascii="Times New Roman" w:hAnsi="Times New Roman" w:eastAsia="仿宋_GB2312" w:cs="仿宋_GB2312"/>
          <w:b w:val="0"/>
          <w:bCs w:val="0"/>
          <w:sz w:val="32"/>
          <w:szCs w:val="32"/>
          <w:lang w:val="en-US" w:eastAsia="zh-CN"/>
        </w:rPr>
        <w:t>100</w:t>
      </w:r>
      <w:r>
        <w:rPr>
          <w:rFonts w:hint="eastAsia" w:ascii="Times New Roman" w:hAnsi="Times New Roman" w:eastAsia="仿宋_GB2312" w:cs="仿宋_GB2312"/>
          <w:b w:val="0"/>
          <w:bCs w:val="0"/>
          <w:sz w:val="32"/>
          <w:szCs w:val="32"/>
        </w:rPr>
        <w:t>元/吨，补助总量</w:t>
      </w:r>
      <w:r>
        <w:rPr>
          <w:rFonts w:hint="eastAsia" w:ascii="Times New Roman" w:hAnsi="Times New Roman" w:eastAsia="仿宋_GB2312" w:cs="仿宋_GB2312"/>
          <w:b w:val="0"/>
          <w:bCs w:val="0"/>
          <w:sz w:val="32"/>
          <w:szCs w:val="32"/>
          <w:lang w:val="en-US" w:eastAsia="zh-CN"/>
        </w:rPr>
        <w:t>0.604</w:t>
      </w:r>
      <w:r>
        <w:rPr>
          <w:rFonts w:hint="eastAsia" w:ascii="Times New Roman" w:hAnsi="Times New Roman" w:eastAsia="仿宋_GB2312" w:cs="仿宋_GB2312"/>
          <w:b w:val="0"/>
          <w:bCs w:val="0"/>
          <w:sz w:val="32"/>
          <w:szCs w:val="32"/>
        </w:rPr>
        <w:t>万吨，预算金额</w:t>
      </w:r>
      <w:r>
        <w:rPr>
          <w:rFonts w:hint="eastAsia" w:ascii="Times New Roman" w:hAnsi="Times New Roman" w:eastAsia="仿宋_GB2312" w:cs="仿宋_GB2312"/>
          <w:b w:val="0"/>
          <w:bCs w:val="0"/>
          <w:sz w:val="32"/>
          <w:szCs w:val="32"/>
          <w:lang w:val="en-US" w:eastAsia="zh-CN"/>
        </w:rPr>
        <w:t>60.4</w:t>
      </w:r>
      <w:r>
        <w:rPr>
          <w:rFonts w:hint="eastAsia" w:ascii="Times New Roman" w:hAnsi="Times New Roman" w:eastAsia="仿宋_GB2312" w:cs="仿宋_GB2312"/>
          <w:b w:val="0"/>
          <w:bCs w:val="0"/>
          <w:sz w:val="32"/>
          <w:szCs w:val="32"/>
        </w:rPr>
        <w:t>万元。</w:t>
      </w:r>
    </w:p>
    <w:p w14:paraId="321D64BF">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lang w:val="en-US" w:eastAsia="zh-CN"/>
        </w:rPr>
        <w:t>2．</w:t>
      </w:r>
      <w:r>
        <w:rPr>
          <w:rFonts w:hint="eastAsia" w:ascii="Times New Roman" w:hAnsi="Times New Roman" w:eastAsia="仿宋_GB2312" w:cs="仿宋_GB2312"/>
          <w:b w:val="0"/>
          <w:bCs w:val="0"/>
          <w:sz w:val="32"/>
          <w:szCs w:val="32"/>
        </w:rPr>
        <w:t>秸秆</w:t>
      </w:r>
      <w:r>
        <w:rPr>
          <w:rFonts w:hint="eastAsia" w:ascii="Times New Roman" w:hAnsi="Times New Roman" w:eastAsia="仿宋_GB2312" w:cs="仿宋_GB2312"/>
          <w:b w:val="0"/>
          <w:bCs w:val="0"/>
          <w:sz w:val="32"/>
          <w:szCs w:val="32"/>
          <w:lang w:val="en-US" w:eastAsia="zh-CN"/>
        </w:rPr>
        <w:t>加工和</w:t>
      </w:r>
      <w:r>
        <w:rPr>
          <w:rFonts w:hint="eastAsia" w:ascii="Times New Roman" w:hAnsi="Times New Roman" w:eastAsia="仿宋_GB2312" w:cs="仿宋_GB2312"/>
          <w:b w:val="0"/>
          <w:bCs w:val="0"/>
          <w:sz w:val="32"/>
          <w:szCs w:val="32"/>
        </w:rPr>
        <w:t>多元化利用补助</w:t>
      </w:r>
    </w:p>
    <w:p w14:paraId="7FBC2FBB">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加工利用（是指对秸秆进行粉碎、切段等初加工）</w:t>
      </w:r>
      <w:r>
        <w:rPr>
          <w:rFonts w:hint="eastAsia" w:ascii="Times New Roman" w:hAnsi="Times New Roman" w:eastAsia="仿宋_GB2312" w:cs="仿宋_GB2312"/>
          <w:b w:val="0"/>
          <w:bCs w:val="0"/>
          <w:sz w:val="32"/>
          <w:szCs w:val="32"/>
          <w:lang w:val="en-US" w:eastAsia="zh-CN"/>
        </w:rPr>
        <w:t>和</w:t>
      </w:r>
      <w:r>
        <w:rPr>
          <w:rFonts w:hint="eastAsia" w:ascii="Times New Roman" w:hAnsi="Times New Roman" w:eastAsia="仿宋_GB2312" w:cs="仿宋_GB2312"/>
          <w:b w:val="0"/>
          <w:bCs w:val="0"/>
          <w:sz w:val="32"/>
          <w:szCs w:val="32"/>
        </w:rPr>
        <w:t>多元化利用（对秸秆进行饲料化</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燃料化</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肥料化</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原料化</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基料化利用）鱼峰区辖区内的水稻、玉米、甘蔗、桑枝等作物秸秆的利用主体。补助标准为多元利用秸秆</w:t>
      </w:r>
      <w:r>
        <w:rPr>
          <w:rFonts w:hint="eastAsia" w:ascii="Times New Roman" w:hAnsi="Times New Roman" w:eastAsia="仿宋_GB2312" w:cs="仿宋_GB2312"/>
          <w:b w:val="0"/>
          <w:bCs w:val="0"/>
          <w:sz w:val="32"/>
          <w:szCs w:val="32"/>
          <w:lang w:val="en-US" w:eastAsia="zh-CN"/>
        </w:rPr>
        <w:t>50</w:t>
      </w:r>
      <w:r>
        <w:rPr>
          <w:rFonts w:hint="eastAsia" w:ascii="Times New Roman" w:hAnsi="Times New Roman" w:eastAsia="仿宋_GB2312" w:cs="仿宋_GB2312"/>
          <w:b w:val="0"/>
          <w:bCs w:val="0"/>
          <w:sz w:val="32"/>
          <w:szCs w:val="32"/>
        </w:rPr>
        <w:t>元/吨，对实际多元化利用的秸秆量进行补助，总量0.</w:t>
      </w:r>
      <w:r>
        <w:rPr>
          <w:rFonts w:hint="eastAsia" w:ascii="Times New Roman" w:hAnsi="Times New Roman" w:eastAsia="仿宋_GB2312" w:cs="仿宋_GB2312"/>
          <w:b w:val="0"/>
          <w:bCs w:val="0"/>
          <w:sz w:val="32"/>
          <w:szCs w:val="32"/>
          <w:lang w:val="en-US" w:eastAsia="zh-CN"/>
        </w:rPr>
        <w:t>36</w:t>
      </w:r>
      <w:r>
        <w:rPr>
          <w:rFonts w:hint="eastAsia" w:ascii="Times New Roman" w:hAnsi="Times New Roman" w:eastAsia="仿宋_GB2312" w:cs="仿宋_GB2312"/>
          <w:b w:val="0"/>
          <w:bCs w:val="0"/>
          <w:sz w:val="32"/>
          <w:szCs w:val="32"/>
        </w:rPr>
        <w:t>万吨，预算金额1</w:t>
      </w:r>
      <w:r>
        <w:rPr>
          <w:rFonts w:hint="eastAsia" w:ascii="Times New Roman" w:hAnsi="Times New Roman" w:eastAsia="仿宋_GB2312" w:cs="仿宋_GB2312"/>
          <w:b w:val="0"/>
          <w:bCs w:val="0"/>
          <w:sz w:val="32"/>
          <w:szCs w:val="32"/>
          <w:lang w:val="en-US" w:eastAsia="zh-CN"/>
        </w:rPr>
        <w:t>8</w:t>
      </w:r>
      <w:r>
        <w:rPr>
          <w:rFonts w:hint="eastAsia" w:ascii="Times New Roman" w:hAnsi="Times New Roman" w:eastAsia="仿宋_GB2312" w:cs="仿宋_GB2312"/>
          <w:b w:val="0"/>
          <w:bCs w:val="0"/>
          <w:sz w:val="32"/>
          <w:szCs w:val="32"/>
        </w:rPr>
        <w:t>万元。</w:t>
      </w:r>
    </w:p>
    <w:p w14:paraId="1B78769A">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lang w:val="en-US" w:eastAsia="zh-CN"/>
        </w:rPr>
        <w:t>3．</w:t>
      </w:r>
      <w:r>
        <w:rPr>
          <w:rFonts w:hint="eastAsia" w:ascii="Times New Roman" w:hAnsi="Times New Roman" w:eastAsia="仿宋_GB2312" w:cs="仿宋_GB2312"/>
          <w:b w:val="0"/>
          <w:bCs w:val="0"/>
          <w:sz w:val="32"/>
          <w:szCs w:val="32"/>
        </w:rPr>
        <w:t>快速腐熟还田技术模式</w:t>
      </w:r>
      <w:r>
        <w:rPr>
          <w:rFonts w:hint="eastAsia" w:ascii="Times New Roman" w:hAnsi="Times New Roman" w:eastAsia="仿宋_GB2312" w:cs="仿宋_GB2312"/>
          <w:b w:val="0"/>
          <w:bCs w:val="0"/>
          <w:sz w:val="32"/>
          <w:szCs w:val="32"/>
          <w:lang w:val="en-US" w:eastAsia="zh-CN"/>
        </w:rPr>
        <w:t>展示</w:t>
      </w:r>
      <w:r>
        <w:rPr>
          <w:rFonts w:hint="eastAsia" w:ascii="Times New Roman" w:hAnsi="Times New Roman" w:eastAsia="仿宋_GB2312" w:cs="仿宋_GB2312"/>
          <w:b w:val="0"/>
          <w:bCs w:val="0"/>
          <w:sz w:val="32"/>
          <w:szCs w:val="32"/>
        </w:rPr>
        <w:t>区建设</w:t>
      </w:r>
    </w:p>
    <w:p w14:paraId="3FABDF4C">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预算金额3.6万元</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用于600亩</w:t>
      </w:r>
      <w:r>
        <w:rPr>
          <w:rFonts w:hint="eastAsia" w:ascii="Times New Roman" w:hAnsi="Times New Roman" w:eastAsia="仿宋_GB2312" w:cs="仿宋_GB2312"/>
          <w:b w:val="0"/>
          <w:bCs w:val="0"/>
          <w:sz w:val="32"/>
          <w:szCs w:val="32"/>
          <w:lang w:val="en-US" w:eastAsia="zh-CN"/>
        </w:rPr>
        <w:t>展示</w:t>
      </w:r>
      <w:r>
        <w:rPr>
          <w:rFonts w:hint="eastAsia" w:ascii="Times New Roman" w:hAnsi="Times New Roman" w:eastAsia="仿宋_GB2312" w:cs="仿宋_GB2312"/>
          <w:b w:val="0"/>
          <w:bCs w:val="0"/>
          <w:sz w:val="32"/>
          <w:szCs w:val="32"/>
        </w:rPr>
        <w:t>区的腐熟剂采购、作业费、田间管理费等相关费用支出。</w:t>
      </w:r>
    </w:p>
    <w:p w14:paraId="5879DF2E">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以上各项资金补助预算配额，可根据各经营主体秸秆收集利用量实际情况进行适当调配使用。</w:t>
      </w:r>
    </w:p>
    <w:p w14:paraId="25D46726">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（二）财政资金使用要求</w:t>
      </w:r>
    </w:p>
    <w:p w14:paraId="322427EA">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严格按照《农业农村部办公厅关于进一步加强财政支农相关资金使用全链条管理的通知》（农办计财〔2024〕21号）</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农业农村部计划财务司关于进一步做好强农惠农富农政策公开公示工作的通知》（农计财便函〔2025〕77号）、《自治区农业农村厅、自治区财政厅关于印发广西壮族自治区农业相关转移支付资金管理实施细则的通知》（桂农厅规〔2025〕11号）等文件精神及直达专户资金管理要求，严格落实资金管理责任，形成项目资金全链条闭环管理体系，加强监管，规范项目资金使用。</w:t>
      </w:r>
    </w:p>
    <w:p w14:paraId="72802EFF">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1</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资金支持方向。项目资金应用于支持秸秆离田收储、秸秆还田、加工、利用等环节补助和建立秸秆综合利用长效机制。</w:t>
      </w:r>
    </w:p>
    <w:p w14:paraId="228695D1">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2</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资金补助对象。参与秸秆收储和实施秸秆肥料化、饲料化、燃料化、基料化、原料化加工及利用的企业、农民专业合作社、集体经济组织、社会化服务组织等主体（不限于本县域内主体），优先补助规模较大的主体，推进秸秆综合利用规模化产业化发展，规模化主体不足的，可适当补助具备发展潜力的中小经营主体。从项目县域外调入、收购的秸秆，不计入本县秸秆综合利用项目补助对象范畴；已列入农机购置补贴目录的农机具采购不能补贴，其他中央财政转移支付项目在同一实施内容上不得叠加补贴，同一秸秆在还离田、收储运多环节上不得重复补贴。</w:t>
      </w:r>
    </w:p>
    <w:p w14:paraId="31860413">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3</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资金使用要求。项目资金必须专款专用，严禁虚列或套取补助，截留、挤占、挪用资金或擅自扩大资金支出范围的行为</w:t>
      </w:r>
      <w:r>
        <w:rPr>
          <w:rFonts w:hint="eastAsia" w:ascii="Times New Roman" w:hAnsi="Times New Roman" w:eastAsia="仿宋_GB2312" w:cs="仿宋_GB2312"/>
          <w:b w:val="0"/>
          <w:bCs w:val="0"/>
          <w:sz w:val="32"/>
          <w:szCs w:val="32"/>
          <w:lang w:val="en-US" w:eastAsia="zh-CN"/>
        </w:rPr>
        <w:t>，</w:t>
      </w:r>
      <w:r>
        <w:rPr>
          <w:rFonts w:hint="eastAsia" w:ascii="Times New Roman" w:hAnsi="Times New Roman" w:eastAsia="仿宋_GB2312" w:cs="仿宋_GB2312"/>
          <w:b w:val="0"/>
          <w:bCs w:val="0"/>
          <w:sz w:val="32"/>
          <w:szCs w:val="32"/>
        </w:rPr>
        <w:t>不得挪用于补助单位人员经费、机构正常运转等支出</w:t>
      </w:r>
      <w:r>
        <w:rPr>
          <w:rFonts w:hint="eastAsia" w:ascii="Times New Roman" w:hAnsi="Times New Roman" w:eastAsia="仿宋_GB2312" w:cs="仿宋_GB2312"/>
          <w:b w:val="0"/>
          <w:bCs w:val="0"/>
          <w:sz w:val="32"/>
          <w:szCs w:val="32"/>
          <w:lang w:val="en-US" w:eastAsia="zh-CN"/>
        </w:rPr>
        <w:t>，</w:t>
      </w:r>
      <w:r>
        <w:rPr>
          <w:rFonts w:hint="eastAsia" w:ascii="Times New Roman" w:hAnsi="Times New Roman" w:eastAsia="仿宋_GB2312" w:cs="仿宋_GB2312"/>
          <w:b w:val="0"/>
          <w:bCs w:val="0"/>
          <w:sz w:val="32"/>
          <w:szCs w:val="32"/>
        </w:rPr>
        <w:t>以及其他与秸秆综合利用无关的支出。</w:t>
      </w:r>
      <w:r>
        <w:rPr>
          <w:rFonts w:hint="eastAsia" w:ascii="Times New Roman" w:hAnsi="Times New Roman" w:eastAsia="仿宋_GB2312" w:cs="仿宋_GB2312"/>
          <w:b w:val="0"/>
          <w:bCs w:val="0"/>
          <w:sz w:val="32"/>
          <w:szCs w:val="32"/>
          <w:highlight w:val="none"/>
        </w:rPr>
        <w:t>科学制定项目</w:t>
      </w:r>
      <w:r>
        <w:rPr>
          <w:rFonts w:hint="eastAsia" w:ascii="Times New Roman" w:hAnsi="Times New Roman" w:eastAsia="仿宋_GB2312" w:cs="仿宋_GB2312"/>
          <w:b w:val="0"/>
          <w:bCs w:val="0"/>
          <w:sz w:val="32"/>
          <w:szCs w:val="32"/>
        </w:rPr>
        <w:t>验收方案和验收标准，及时完成项目验收，力争做到“完成一项验收一项”</w:t>
      </w:r>
      <w:r>
        <w:rPr>
          <w:rFonts w:hint="eastAsia" w:ascii="Times New Roman" w:hAnsi="Times New Roman" w:eastAsia="仿宋_GB2312" w:cs="仿宋_GB2312"/>
          <w:b w:val="0"/>
          <w:bCs w:val="0"/>
          <w:sz w:val="32"/>
          <w:szCs w:val="32"/>
          <w:lang w:val="en-US" w:eastAsia="zh-CN"/>
        </w:rPr>
        <w:t>，</w:t>
      </w:r>
      <w:r>
        <w:rPr>
          <w:rFonts w:hint="eastAsia" w:ascii="Times New Roman" w:hAnsi="Times New Roman" w:eastAsia="仿宋_GB2312" w:cs="仿宋_GB2312"/>
          <w:b w:val="0"/>
          <w:bCs w:val="0"/>
          <w:sz w:val="32"/>
          <w:szCs w:val="32"/>
        </w:rPr>
        <w:t>并及时做好资金拨付，确保在年底前项目资金支出率达到80%以上。</w:t>
      </w:r>
    </w:p>
    <w:p w14:paraId="0001DF8F">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lang w:val="en-US" w:eastAsia="zh-CN"/>
        </w:rPr>
        <w:t>4．</w:t>
      </w:r>
      <w:r>
        <w:rPr>
          <w:rFonts w:hint="eastAsia" w:ascii="Times New Roman" w:hAnsi="Times New Roman" w:eastAsia="仿宋_GB2312" w:cs="仿宋_GB2312"/>
          <w:b w:val="0"/>
          <w:bCs w:val="0"/>
          <w:sz w:val="32"/>
          <w:szCs w:val="32"/>
        </w:rPr>
        <w:t>资金调整机制。若确有特殊情况导致部分项目无法按原定方案实施的，应在保证完成自治区下达目标任务的前提下</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及时调整相关建设内容及资金使用方向，并报备市级农业农村局和自治区农业生态与资源保护站。</w:t>
      </w:r>
    </w:p>
    <w:p w14:paraId="5F301043">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lang w:val="en-US" w:eastAsia="zh-CN"/>
        </w:rPr>
        <w:t>四</w:t>
      </w:r>
      <w:r>
        <w:rPr>
          <w:rFonts w:hint="eastAsia" w:ascii="Times New Roman" w:hAnsi="Times New Roman" w:eastAsia="黑体" w:cs="黑体"/>
          <w:b w:val="0"/>
          <w:bCs w:val="0"/>
          <w:sz w:val="32"/>
          <w:szCs w:val="32"/>
        </w:rPr>
        <w:t>、保障措施</w:t>
      </w:r>
    </w:p>
    <w:p w14:paraId="0683079E">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b w:val="0"/>
          <w:bCs w:val="0"/>
          <w:sz w:val="32"/>
          <w:szCs w:val="32"/>
          <w:lang w:eastAsia="zh-CN"/>
        </w:rPr>
      </w:pPr>
      <w:r>
        <w:rPr>
          <w:rFonts w:hint="eastAsia" w:ascii="楷体_GB2312" w:hAnsi="楷体_GB2312" w:eastAsia="楷体_GB2312" w:cs="楷体_GB2312"/>
          <w:b w:val="0"/>
          <w:bCs w:val="0"/>
          <w:sz w:val="32"/>
          <w:szCs w:val="32"/>
        </w:rPr>
        <w:t>（一）加强</w:t>
      </w:r>
      <w:r>
        <w:rPr>
          <w:rFonts w:hint="eastAsia" w:ascii="楷体_GB2312" w:hAnsi="楷体_GB2312" w:eastAsia="楷体_GB2312" w:cs="楷体_GB2312"/>
          <w:b w:val="0"/>
          <w:bCs w:val="0"/>
          <w:sz w:val="32"/>
          <w:szCs w:val="32"/>
          <w:lang w:val="en-US" w:eastAsia="zh-CN"/>
        </w:rPr>
        <w:t>组织协同</w:t>
      </w:r>
      <w:r>
        <w:rPr>
          <w:rFonts w:hint="eastAsia" w:ascii="Times New Roman" w:hAnsi="Times New Roman" w:eastAsia="仿宋_GB2312"/>
          <w:b w:val="0"/>
          <w:bCs w:val="0"/>
          <w:sz w:val="32"/>
          <w:szCs w:val="32"/>
        </w:rPr>
        <w:t>。</w:t>
      </w:r>
      <w:r>
        <w:rPr>
          <w:rFonts w:hint="eastAsia" w:ascii="Times New Roman" w:hAnsi="Times New Roman" w:eastAsia="仿宋_GB2312"/>
          <w:b w:val="0"/>
          <w:bCs w:val="0"/>
          <w:sz w:val="32"/>
          <w:szCs w:val="32"/>
          <w:lang w:val="en-US" w:eastAsia="zh-CN"/>
        </w:rPr>
        <w:t>由我局牵头，</w:t>
      </w:r>
      <w:r>
        <w:rPr>
          <w:rFonts w:hint="eastAsia" w:ascii="Times New Roman" w:hAnsi="Times New Roman" w:eastAsia="仿宋_GB2312"/>
          <w:b w:val="0"/>
          <w:bCs w:val="0"/>
          <w:sz w:val="32"/>
          <w:szCs w:val="32"/>
        </w:rPr>
        <w:t>主动与财政、发展和改革、生态环境等部门的沟通联络与政策会商，建立信息共享、联合督导的工作机制，形成工作合力，确保秸秆综合利用工作与财政预算执行等相关工作紧密衔接、协同推进。同步成立鱼峰区 2026 年农作物秸秆综合利用项目工作领导小组和技术指导小组，统筹推进项目实施、日常监管及技术服务保障工作</w:t>
      </w:r>
      <w:r>
        <w:rPr>
          <w:rFonts w:hint="eastAsia" w:ascii="Times New Roman" w:hAnsi="Times New Roman" w:eastAsia="仿宋_GB2312"/>
          <w:b w:val="0"/>
          <w:bCs w:val="0"/>
          <w:sz w:val="32"/>
          <w:szCs w:val="32"/>
          <w:lang w:eastAsia="zh-CN"/>
        </w:rPr>
        <w:t>。</w:t>
      </w:r>
    </w:p>
    <w:p w14:paraId="3A5D9400">
      <w:pPr>
        <w:pStyle w:val="14"/>
        <w:keepNext w:val="0"/>
        <w:keepLines w:val="0"/>
        <w:pageBreakBefore w:val="0"/>
        <w:numPr>
          <w:ilvl w:val="0"/>
          <w:numId w:val="0"/>
        </w:numPr>
        <w:kinsoku/>
        <w:wordWrap/>
        <w:overflowPunct/>
        <w:topLinePunct w:val="0"/>
        <w:autoSpaceDE/>
        <w:autoSpaceDN/>
        <w:bidi w:val="0"/>
        <w:spacing w:line="560" w:lineRule="exact"/>
        <w:ind w:left="0" w:leftChars="0" w:firstLine="640" w:firstLineChars="200"/>
        <w:jc w:val="both"/>
        <w:textAlignment w:val="auto"/>
        <w:rPr>
          <w:rFonts w:hint="eastAsia" w:ascii="Times New Roman" w:hAnsi="Times New Roman" w:eastAsia="仿宋_GB2312"/>
          <w:b w:val="0"/>
          <w:bCs w:val="0"/>
          <w:sz w:val="32"/>
          <w:szCs w:val="32"/>
        </w:rPr>
      </w:pPr>
      <w:r>
        <w:rPr>
          <w:rFonts w:hint="default"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lang w:val="en-US" w:eastAsia="zh-CN"/>
        </w:rPr>
        <w:t>．</w:t>
      </w:r>
      <w:r>
        <w:rPr>
          <w:rFonts w:hint="default" w:ascii="Times New Roman" w:hAnsi="Times New Roman" w:eastAsia="仿宋_GB2312" w:cs="仿宋_GB2312"/>
          <w:sz w:val="32"/>
          <w:szCs w:val="32"/>
          <w:lang w:val="en-US" w:eastAsia="zh-CN"/>
        </w:rPr>
        <w:t>成立项目领导小组，负责项目的组织协调、预算执行和管理等工作，成员如下</w:t>
      </w:r>
      <w:r>
        <w:rPr>
          <w:rFonts w:hint="eastAsia" w:ascii="Times New Roman" w:hAnsi="Times New Roman" w:eastAsia="仿宋_GB2312" w:cs="仿宋_GB2312"/>
          <w:sz w:val="32"/>
          <w:szCs w:val="32"/>
          <w:lang w:val="en-US" w:eastAsia="zh-CN"/>
        </w:rPr>
        <w:t>：</w:t>
      </w:r>
    </w:p>
    <w:p w14:paraId="3B19ABD7">
      <w:pPr>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　</w:t>
      </w:r>
      <w:r>
        <w:rPr>
          <w:rFonts w:hint="eastAsia" w:ascii="Times New Roman" w:hAnsi="Times New Roman" w:eastAsia="仿宋_GB2312" w:cs="仿宋_GB2312"/>
          <w:sz w:val="32"/>
          <w:szCs w:val="32"/>
        </w:rPr>
        <w:t>组  长：罗  勇</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区农业农村局局长</w:t>
      </w:r>
    </w:p>
    <w:p w14:paraId="2B79784A">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覃  晴      </w:t>
      </w:r>
      <w:r>
        <w:rPr>
          <w:rFonts w:hint="eastAsia" w:ascii="Times New Roman" w:hAnsi="Times New Roman" w:eastAsia="仿宋_GB2312" w:cs="仿宋_GB2312"/>
          <w:sz w:val="32"/>
          <w:szCs w:val="32"/>
        </w:rPr>
        <w:t>鱼峰生态环境局局长</w:t>
      </w:r>
    </w:p>
    <w:p w14:paraId="3276F32A">
      <w:pPr>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　成  员</w:t>
      </w:r>
      <w:r>
        <w:rPr>
          <w:rFonts w:hint="eastAsia" w:ascii="Times New Roman" w:hAnsi="Times New Roman" w:eastAsia="仿宋_GB2312" w:cs="仿宋_GB2312"/>
          <w:sz w:val="32"/>
          <w:szCs w:val="32"/>
        </w:rPr>
        <w:t>：覃明锋</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区农业农村局</w:t>
      </w:r>
      <w:r>
        <w:rPr>
          <w:rFonts w:hint="eastAsia" w:ascii="Times New Roman" w:hAnsi="Times New Roman" w:eastAsia="仿宋_GB2312" w:cs="仿宋_GB2312"/>
          <w:sz w:val="32"/>
          <w:szCs w:val="32"/>
          <w:lang w:val="en-US" w:eastAsia="zh-CN"/>
        </w:rPr>
        <w:t>副</w:t>
      </w:r>
      <w:r>
        <w:rPr>
          <w:rFonts w:hint="eastAsia" w:ascii="Times New Roman" w:hAnsi="Times New Roman" w:eastAsia="仿宋_GB2312" w:cs="仿宋_GB2312"/>
          <w:sz w:val="32"/>
          <w:szCs w:val="32"/>
        </w:rPr>
        <w:t>局长</w:t>
      </w:r>
    </w:p>
    <w:p w14:paraId="500935C8">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刘晓彬      区农业服务中心主任</w:t>
      </w:r>
    </w:p>
    <w:p w14:paraId="25109A38">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 xml:space="preserve">　黎倩利      </w:t>
      </w:r>
      <w:r>
        <w:rPr>
          <w:rFonts w:hint="eastAsia" w:ascii="Times New Roman" w:hAnsi="Times New Roman" w:eastAsia="仿宋_GB2312" w:cs="仿宋_GB2312"/>
          <w:sz w:val="32"/>
          <w:szCs w:val="32"/>
        </w:rPr>
        <w:t>区财政局副局长</w:t>
      </w:r>
    </w:p>
    <w:p w14:paraId="388FF9F2">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　</w:t>
      </w:r>
      <w:r>
        <w:rPr>
          <w:rFonts w:hint="eastAsia" w:ascii="Times New Roman" w:hAnsi="Times New Roman" w:eastAsia="仿宋_GB2312" w:cs="仿宋_GB2312"/>
          <w:sz w:val="32"/>
          <w:szCs w:val="32"/>
        </w:rPr>
        <w:t>李</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韩</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雒容镇人民政府副镇长</w:t>
      </w:r>
    </w:p>
    <w:p w14:paraId="1F034F3E">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 xml:space="preserve">　陈娇娇      </w:t>
      </w:r>
      <w:r>
        <w:rPr>
          <w:rFonts w:hint="eastAsia" w:ascii="Times New Roman" w:hAnsi="Times New Roman" w:eastAsia="仿宋_GB2312" w:cs="仿宋_GB2312"/>
          <w:sz w:val="32"/>
          <w:szCs w:val="32"/>
        </w:rPr>
        <w:t>里雍镇人民政府副镇长</w:t>
      </w:r>
    </w:p>
    <w:p w14:paraId="70C39C95">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　</w:t>
      </w:r>
      <w:r>
        <w:rPr>
          <w:rFonts w:hint="eastAsia" w:ascii="Times New Roman" w:hAnsi="Times New Roman" w:eastAsia="仿宋_GB2312" w:cs="仿宋_GB2312"/>
          <w:sz w:val="32"/>
          <w:szCs w:val="32"/>
        </w:rPr>
        <w:t>黄鼎业</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白沙镇人民政府副镇长</w:t>
      </w:r>
    </w:p>
    <w:p w14:paraId="0B6774B7">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textAlignment w:val="auto"/>
        <w:rPr>
          <w:rFonts w:hint="default" w:ascii="Times New Roman" w:hAnsi="Times New Roman" w:eastAsia="仿宋_GB2312"/>
          <w:lang w:val="en-US" w:eastAsia="zh-CN"/>
        </w:rPr>
      </w:pPr>
      <w:r>
        <w:rPr>
          <w:rFonts w:hint="eastAsia" w:ascii="Times New Roman" w:hAnsi="Times New Roman" w:eastAsia="仿宋_GB2312" w:cs="仿宋_GB2312"/>
          <w:sz w:val="32"/>
          <w:szCs w:val="32"/>
          <w:lang w:val="en-US" w:eastAsia="zh-CN"/>
        </w:rPr>
        <w:t>　廖庆弟      洛埠镇人民政府副镇长</w:t>
      </w:r>
    </w:p>
    <w:p w14:paraId="5BF166E0">
      <w:pPr>
        <w:pStyle w:val="14"/>
        <w:keepNext w:val="0"/>
        <w:keepLines w:val="0"/>
        <w:pageBreakBefore w:val="0"/>
        <w:numPr>
          <w:ilvl w:val="0"/>
          <w:numId w:val="0"/>
        </w:numPr>
        <w:kinsoku/>
        <w:wordWrap/>
        <w:overflowPunct/>
        <w:topLinePunct w:val="0"/>
        <w:autoSpaceDE/>
        <w:autoSpaceDN/>
        <w:bidi w:val="0"/>
        <w:spacing w:line="560" w:lineRule="exact"/>
        <w:ind w:left="0" w:leftChars="0" w:firstLine="640" w:firstLineChars="200"/>
        <w:jc w:val="both"/>
        <w:textAlignment w:val="auto"/>
        <w:rPr>
          <w:rFonts w:hint="eastAsia" w:ascii="Times New Roman" w:hAnsi="Times New Roman" w:eastAsia="仿宋_GB2312" w:cs="仿宋_GB2312"/>
          <w:sz w:val="32"/>
          <w:szCs w:val="32"/>
        </w:rPr>
      </w:pPr>
      <w:r>
        <w:rPr>
          <w:rFonts w:hint="default"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lang w:val="en-US" w:eastAsia="zh-CN"/>
        </w:rPr>
        <w:t>．</w:t>
      </w:r>
      <w:r>
        <w:rPr>
          <w:rFonts w:hint="default" w:ascii="Times New Roman" w:hAnsi="Times New Roman" w:eastAsia="仿宋_GB2312" w:cs="仿宋_GB2312"/>
          <w:sz w:val="32"/>
          <w:szCs w:val="32"/>
          <w:lang w:val="en-US" w:eastAsia="zh-CN"/>
        </w:rPr>
        <w:t>成立项目技术指导小组，负责项目技术指导、技术培训、资金使用等指导工作，成员如下：</w:t>
      </w:r>
    </w:p>
    <w:p w14:paraId="6EC5F936">
      <w:pPr>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组  长：廖雨维      区农业农村局工作人员</w:t>
      </w:r>
    </w:p>
    <w:p w14:paraId="70E872DF">
      <w:pPr>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成  员：韦冬菊      区农业服务中心高级工程师</w:t>
      </w:r>
    </w:p>
    <w:p w14:paraId="0689F2C4">
      <w:pPr>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李  飞      区农业服务中心副高级农业经济师</w:t>
      </w:r>
    </w:p>
    <w:p w14:paraId="26B3B950">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textAlignment w:val="auto"/>
        <w:rPr>
          <w:rFonts w:hint="eastAsia" w:ascii="Times New Roman" w:hAnsi="Times New Roman" w:eastAsia="仿宋_GB2312" w:cs="仿宋_GB2312"/>
          <w:sz w:val="32"/>
          <w:szCs w:val="32"/>
          <w:lang w:val="en-US" w:eastAsia="zh-CN"/>
        </w:rPr>
      </w:pPr>
      <w:r>
        <w:rPr>
          <w:rFonts w:hint="eastAsia" w:eastAsia="仿宋_GB2312" w:cs="仿宋_GB2312"/>
          <w:sz w:val="32"/>
          <w:szCs w:val="32"/>
          <w:lang w:val="en-US" w:eastAsia="zh-CN"/>
        </w:rPr>
        <w:t>　</w:t>
      </w:r>
      <w:r>
        <w:rPr>
          <w:rFonts w:hint="eastAsia" w:ascii="Times New Roman" w:hAnsi="Times New Roman" w:eastAsia="仿宋_GB2312" w:cs="仿宋_GB2312"/>
          <w:sz w:val="32"/>
          <w:szCs w:val="32"/>
          <w:lang w:val="en-US" w:eastAsia="zh-CN"/>
        </w:rPr>
        <w:t>何芳义      区农业服务中心农艺师</w:t>
      </w:r>
    </w:p>
    <w:p w14:paraId="27975A10">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textAlignment w:val="auto"/>
        <w:rPr>
          <w:rFonts w:hint="default"/>
          <w:lang w:val="en-US" w:eastAsia="zh-CN"/>
        </w:rPr>
      </w:pPr>
      <w:r>
        <w:rPr>
          <w:rFonts w:hint="eastAsia" w:eastAsia="仿宋_GB2312" w:cs="仿宋_GB2312"/>
          <w:sz w:val="32"/>
          <w:szCs w:val="32"/>
          <w:lang w:val="en-US" w:eastAsia="zh-CN"/>
        </w:rPr>
        <w:t>　</w:t>
      </w:r>
      <w:r>
        <w:rPr>
          <w:rFonts w:hint="eastAsia" w:ascii="Times New Roman" w:hAnsi="Times New Roman" w:eastAsia="仿宋_GB2312" w:cs="仿宋_GB2312"/>
          <w:sz w:val="32"/>
          <w:szCs w:val="32"/>
          <w:lang w:val="en-US" w:eastAsia="zh-CN"/>
        </w:rPr>
        <w:t>吕  珍      区农业服务中心农艺师</w:t>
      </w:r>
    </w:p>
    <w:p w14:paraId="55CFCB12">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何莹莹      区农业服务中心农艺师</w:t>
      </w:r>
    </w:p>
    <w:p w14:paraId="6085B7D7">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textAlignment w:val="auto"/>
        <w:rPr>
          <w:rFonts w:hint="eastAsia" w:ascii="Times New Roman" w:hAnsi="Times New Roman" w:eastAsia="仿宋_GB2312" w:cs="仿宋_GB2312"/>
          <w:sz w:val="32"/>
          <w:szCs w:val="32"/>
          <w:lang w:val="en-US" w:eastAsia="zh-CN"/>
        </w:rPr>
      </w:pPr>
      <w:r>
        <w:rPr>
          <w:rFonts w:hint="eastAsia" w:eastAsia="仿宋_GB2312" w:cs="仿宋_GB2312"/>
          <w:sz w:val="32"/>
          <w:szCs w:val="32"/>
          <w:lang w:val="en-US" w:eastAsia="zh-CN"/>
        </w:rPr>
        <w:t>　</w:t>
      </w:r>
      <w:r>
        <w:rPr>
          <w:rFonts w:hint="eastAsia" w:ascii="Times New Roman" w:hAnsi="Times New Roman" w:eastAsia="仿宋_GB2312" w:cs="仿宋_GB2312"/>
          <w:sz w:val="32"/>
          <w:szCs w:val="32"/>
          <w:lang w:val="en-US" w:eastAsia="zh-CN"/>
        </w:rPr>
        <w:t>梁津伟      区农业服务中心助理工程师</w:t>
      </w:r>
    </w:p>
    <w:p w14:paraId="2A6A33A2">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左秋云      区农业农村局工作人员</w:t>
      </w:r>
    </w:p>
    <w:p w14:paraId="4EF09711">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textAlignment w:val="auto"/>
        <w:rPr>
          <w:rFonts w:hint="eastAsia" w:ascii="Times New Roman" w:hAnsi="Times New Roman"/>
          <w:lang w:val="en-US" w:eastAsia="zh-CN"/>
        </w:rPr>
      </w:pPr>
      <w:r>
        <w:rPr>
          <w:rFonts w:hint="eastAsia" w:ascii="Times New Roman" w:hAnsi="Times New Roman" w:eastAsia="仿宋_GB2312" w:cs="仿宋_GB2312"/>
          <w:sz w:val="32"/>
          <w:szCs w:val="32"/>
          <w:lang w:val="en-US" w:eastAsia="zh-CN"/>
        </w:rPr>
        <w:t>　韦意春      洛埠镇农业服务中心主任</w:t>
      </w:r>
    </w:p>
    <w:p w14:paraId="2FE5A2AE">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textAlignment w:val="auto"/>
        <w:rPr>
          <w:rFonts w:hint="eastAsia" w:ascii="Times New Roman" w:hAnsi="Times New Roman" w:eastAsia="仿宋_GB2312" w:cs="仿宋_GB2312"/>
          <w:sz w:val="32"/>
          <w:szCs w:val="32"/>
          <w:lang w:val="en-US" w:eastAsia="zh-CN"/>
        </w:rPr>
      </w:pPr>
      <w:r>
        <w:rPr>
          <w:rFonts w:hint="eastAsia" w:eastAsia="仿宋_GB2312" w:cs="仿宋_GB2312"/>
          <w:sz w:val="32"/>
          <w:szCs w:val="32"/>
          <w:lang w:val="en-US" w:eastAsia="zh-CN"/>
        </w:rPr>
        <w:t>　</w:t>
      </w:r>
      <w:r>
        <w:rPr>
          <w:rFonts w:hint="eastAsia" w:ascii="Times New Roman" w:hAnsi="Times New Roman" w:eastAsia="仿宋_GB2312" w:cs="仿宋_GB2312"/>
          <w:sz w:val="32"/>
          <w:szCs w:val="32"/>
          <w:lang w:val="en-US" w:eastAsia="zh-CN"/>
        </w:rPr>
        <w:t>黄莺英      里雍镇农业服务中心副主任</w:t>
      </w:r>
    </w:p>
    <w:p w14:paraId="13A7788D">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韦海荣      雒容镇农业服务中心农艺师</w:t>
      </w:r>
    </w:p>
    <w:p w14:paraId="75575239">
      <w:pPr>
        <w:keepNext w:val="0"/>
        <w:keepLines w:val="0"/>
        <w:pageBreakBefore w:val="0"/>
        <w:widowControl w:val="0"/>
        <w:kinsoku/>
        <w:wordWrap/>
        <w:overflowPunct/>
        <w:topLinePunct w:val="0"/>
        <w:autoSpaceDE/>
        <w:autoSpaceDN/>
        <w:bidi w:val="0"/>
        <w:adjustRightInd/>
        <w:snapToGrid/>
        <w:spacing w:line="560" w:lineRule="exact"/>
        <w:ind w:left="0" w:leftChars="0" w:firstLine="320" w:firstLineChars="1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覃元丽      白沙镇农业服务中心工作人员</w:t>
      </w:r>
    </w:p>
    <w:p w14:paraId="0116FC67">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b w:val="0"/>
          <w:bCs w:val="0"/>
          <w:color w:val="auto"/>
          <w:sz w:val="32"/>
          <w:szCs w:val="32"/>
          <w:u w:val="none"/>
        </w:rPr>
      </w:pPr>
      <w:r>
        <w:rPr>
          <w:rFonts w:hint="eastAsia" w:ascii="楷体_GB2312" w:hAnsi="楷体_GB2312" w:eastAsia="楷体_GB2312" w:cs="楷体_GB2312"/>
          <w:b w:val="0"/>
          <w:bCs w:val="0"/>
          <w:sz w:val="32"/>
          <w:szCs w:val="32"/>
        </w:rPr>
        <w:t>（二）</w:t>
      </w:r>
      <w:r>
        <w:rPr>
          <w:rFonts w:hint="eastAsia" w:ascii="楷体_GB2312" w:hAnsi="楷体_GB2312" w:eastAsia="楷体_GB2312" w:cs="楷体_GB2312"/>
          <w:b w:val="0"/>
          <w:bCs w:val="0"/>
          <w:sz w:val="32"/>
          <w:szCs w:val="32"/>
          <w:lang w:val="en-US" w:eastAsia="zh-CN"/>
        </w:rPr>
        <w:t>规范项目管理</w:t>
      </w:r>
      <w:r>
        <w:rPr>
          <w:rFonts w:hint="eastAsia" w:ascii="楷体_GB2312" w:hAnsi="楷体_GB2312" w:eastAsia="楷体_GB2312" w:cs="楷体_GB2312"/>
          <w:b w:val="0"/>
          <w:bCs w:val="0"/>
          <w:sz w:val="32"/>
          <w:szCs w:val="32"/>
        </w:rPr>
        <w:t>。</w:t>
      </w:r>
      <w:r>
        <w:rPr>
          <w:rFonts w:hint="eastAsia" w:ascii="Times New Roman" w:hAnsi="Times New Roman" w:eastAsia="仿宋_GB2312"/>
          <w:b w:val="0"/>
          <w:bCs w:val="0"/>
          <w:sz w:val="32"/>
          <w:szCs w:val="32"/>
        </w:rPr>
        <w:t>按照自治区下达的任务指标，结合本地实际，科学编制本级年度实施方案，并于2026年</w:t>
      </w:r>
      <w:r>
        <w:rPr>
          <w:rFonts w:hint="eastAsia" w:ascii="Times New Roman" w:hAnsi="Times New Roman" w:eastAsia="仿宋_GB2312"/>
          <w:b w:val="0"/>
          <w:bCs w:val="0"/>
          <w:sz w:val="32"/>
          <w:szCs w:val="32"/>
          <w:lang w:val="en-US" w:eastAsia="zh-CN"/>
        </w:rPr>
        <w:t>6</w:t>
      </w:r>
      <w:r>
        <w:rPr>
          <w:rFonts w:hint="eastAsia" w:ascii="Times New Roman" w:hAnsi="Times New Roman" w:eastAsia="仿宋_GB2312"/>
          <w:b w:val="0"/>
          <w:bCs w:val="0"/>
          <w:sz w:val="32"/>
          <w:szCs w:val="32"/>
        </w:rPr>
        <w:t>月30日前报送至自治区农业生态与资源保护站。严格落实补贴发放有关规定，明确项目各项补助资金申报、审核、公开、公示、发放等环节的操作规范，并建立专门台账。同时，做好项目实施方案的公示公开，资金发放、项目申报要求、主体遴选、验收结果、竞争性项目承担主体等内容须通过官方网站等渠道进行公示公开</w:t>
      </w:r>
      <w:r>
        <w:rPr>
          <w:rFonts w:hint="eastAsia" w:ascii="Times New Roman" w:hAnsi="Times New Roman" w:eastAsia="仿宋_GB2312"/>
          <w:b w:val="0"/>
          <w:bCs w:val="0"/>
          <w:sz w:val="32"/>
          <w:szCs w:val="32"/>
          <w:lang w:eastAsia="zh-CN"/>
        </w:rPr>
        <w:t>，</w:t>
      </w:r>
      <w:r>
        <w:rPr>
          <w:rFonts w:hint="eastAsia" w:ascii="Times New Roman" w:hAnsi="Times New Roman" w:eastAsia="仿宋_GB2312"/>
          <w:b w:val="0"/>
          <w:bCs w:val="0"/>
          <w:sz w:val="32"/>
          <w:szCs w:val="32"/>
        </w:rPr>
        <w:t>主动接受社会监督；及时将支出进度、绩效完成情况、支出凭证、已请款但财政尚未拨付材料、公开公示情况材料及时上传农业农村部转移支付管理平台（网址</w:t>
      </w:r>
      <w:r>
        <w:rPr>
          <w:rFonts w:hint="eastAsia" w:ascii="Times New Roman" w:hAnsi="Times New Roman" w:eastAsia="仿宋_GB2312"/>
          <w:b w:val="0"/>
          <w:bCs w:val="0"/>
          <w:sz w:val="32"/>
          <w:szCs w:val="32"/>
          <w:u w:val="none"/>
        </w:rPr>
        <w:t>：</w:t>
      </w:r>
      <w:r>
        <w:rPr>
          <w:rFonts w:hint="eastAsia" w:ascii="Times New Roman" w:hAnsi="Times New Roman" w:eastAsia="仿宋_GB2312"/>
          <w:b w:val="0"/>
          <w:bCs w:val="0"/>
          <w:color w:val="auto"/>
          <w:sz w:val="32"/>
          <w:szCs w:val="32"/>
          <w:u w:val="none"/>
        </w:rPr>
        <w:fldChar w:fldCharType="begin"/>
      </w:r>
      <w:r>
        <w:rPr>
          <w:rFonts w:hint="eastAsia" w:ascii="Times New Roman" w:hAnsi="Times New Roman" w:eastAsia="仿宋_GB2312"/>
          <w:b w:val="0"/>
          <w:bCs w:val="0"/>
          <w:color w:val="auto"/>
          <w:sz w:val="32"/>
          <w:szCs w:val="32"/>
          <w:u w:val="none"/>
        </w:rPr>
        <w:instrText xml:space="preserve"> HYPERLINK "https://zyzf.xnzb.org.cn/）。" </w:instrText>
      </w:r>
      <w:r>
        <w:rPr>
          <w:rFonts w:hint="eastAsia" w:ascii="Times New Roman" w:hAnsi="Times New Roman" w:eastAsia="仿宋_GB2312"/>
          <w:b w:val="0"/>
          <w:bCs w:val="0"/>
          <w:color w:val="auto"/>
          <w:sz w:val="32"/>
          <w:szCs w:val="32"/>
          <w:u w:val="none"/>
        </w:rPr>
        <w:fldChar w:fldCharType="separate"/>
      </w:r>
      <w:r>
        <w:rPr>
          <w:rStyle w:val="11"/>
          <w:rFonts w:hint="eastAsia" w:ascii="Times New Roman" w:hAnsi="Times New Roman" w:eastAsia="仿宋_GB2312"/>
          <w:b w:val="0"/>
          <w:bCs w:val="0"/>
          <w:color w:val="auto"/>
          <w:sz w:val="32"/>
          <w:szCs w:val="32"/>
          <w:u w:val="none"/>
        </w:rPr>
        <w:t>https://zyzf.xnzb.org.cn/）。</w:t>
      </w:r>
      <w:r>
        <w:rPr>
          <w:rFonts w:hint="eastAsia" w:ascii="Times New Roman" w:hAnsi="Times New Roman" w:eastAsia="仿宋_GB2312"/>
          <w:b w:val="0"/>
          <w:bCs w:val="0"/>
          <w:color w:val="auto"/>
          <w:sz w:val="32"/>
          <w:szCs w:val="32"/>
          <w:u w:val="none"/>
        </w:rPr>
        <w:fldChar w:fldCharType="end"/>
      </w:r>
    </w:p>
    <w:p w14:paraId="115870C1">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b w:val="0"/>
          <w:bCs w:val="0"/>
          <w:sz w:val="32"/>
          <w:szCs w:val="32"/>
        </w:rPr>
      </w:pPr>
      <w:r>
        <w:rPr>
          <w:rFonts w:hint="eastAsia" w:ascii="楷体_GB2312" w:hAnsi="楷体_GB2312" w:eastAsia="楷体_GB2312" w:cs="楷体_GB2312"/>
          <w:b w:val="0"/>
          <w:bCs w:val="0"/>
          <w:sz w:val="32"/>
          <w:szCs w:val="32"/>
        </w:rPr>
        <w:t>（三）加强</w:t>
      </w:r>
      <w:r>
        <w:rPr>
          <w:rFonts w:hint="eastAsia" w:ascii="楷体_GB2312" w:hAnsi="楷体_GB2312" w:eastAsia="楷体_GB2312" w:cs="楷体_GB2312"/>
          <w:b w:val="0"/>
          <w:bCs w:val="0"/>
          <w:sz w:val="32"/>
          <w:szCs w:val="32"/>
          <w:lang w:val="en-US" w:eastAsia="zh-CN"/>
        </w:rPr>
        <w:t>服务</w:t>
      </w:r>
      <w:r>
        <w:rPr>
          <w:rFonts w:hint="eastAsia" w:ascii="楷体_GB2312" w:hAnsi="楷体_GB2312" w:eastAsia="楷体_GB2312" w:cs="楷体_GB2312"/>
          <w:b w:val="0"/>
          <w:bCs w:val="0"/>
          <w:sz w:val="32"/>
          <w:szCs w:val="32"/>
        </w:rPr>
        <w:t>指导。</w:t>
      </w:r>
      <w:r>
        <w:rPr>
          <w:rFonts w:hint="eastAsia" w:ascii="Times New Roman" w:hAnsi="Times New Roman" w:eastAsia="仿宋_GB2312"/>
          <w:b w:val="0"/>
          <w:bCs w:val="0"/>
          <w:sz w:val="32"/>
          <w:szCs w:val="32"/>
        </w:rPr>
        <w:t>全面落实工作责任，组建服务指导组深入</w:t>
      </w:r>
      <w:r>
        <w:rPr>
          <w:rFonts w:hint="eastAsia" w:ascii="Times New Roman" w:hAnsi="Times New Roman" w:eastAsia="仿宋_GB2312"/>
          <w:b w:val="0"/>
          <w:bCs w:val="0"/>
          <w:sz w:val="32"/>
          <w:szCs w:val="32"/>
          <w:lang w:val="en-US" w:eastAsia="zh-CN"/>
        </w:rPr>
        <w:t>各镇、涉农街道</w:t>
      </w:r>
      <w:r>
        <w:rPr>
          <w:rFonts w:hint="eastAsia" w:ascii="Times New Roman" w:hAnsi="Times New Roman" w:eastAsia="仿宋_GB2312"/>
          <w:b w:val="0"/>
          <w:bCs w:val="0"/>
          <w:sz w:val="32"/>
          <w:szCs w:val="32"/>
        </w:rPr>
        <w:t>开展服务指导，科学推进项目实施。于2026年9 月30日、12月31日前通过广西“一表通”数据管理系统（秸秆综合利用项目）完成本年度秸秆综合利用项目情况的分季度数据调度填报工作，并于12月20 日前将年度工作总结、绩效自评报告及完整的项目验收佐证材料报送至自治区农业生态与资源保护站。</w:t>
      </w:r>
    </w:p>
    <w:p w14:paraId="5D8CAA5A">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b w:val="0"/>
          <w:bCs w:val="0"/>
          <w:sz w:val="32"/>
          <w:szCs w:val="32"/>
        </w:rPr>
      </w:pPr>
      <w:r>
        <w:rPr>
          <w:rFonts w:hint="eastAsia" w:ascii="楷体_GB2312" w:hAnsi="楷体_GB2312" w:eastAsia="楷体_GB2312" w:cs="楷体_GB2312"/>
          <w:b w:val="0"/>
          <w:bCs w:val="0"/>
          <w:sz w:val="32"/>
          <w:szCs w:val="32"/>
        </w:rPr>
        <w:t>（四）加强宣传引导。</w:t>
      </w:r>
      <w:r>
        <w:rPr>
          <w:rFonts w:hint="eastAsia" w:ascii="Times New Roman" w:hAnsi="Times New Roman" w:eastAsia="仿宋_GB2312"/>
          <w:b w:val="0"/>
          <w:bCs w:val="0"/>
          <w:sz w:val="32"/>
          <w:szCs w:val="32"/>
        </w:rPr>
        <w:t>充分利用各类媒体平台，广泛宣传秸秆综合利用对促进农业绿色低碳发展、助力大气污染防治的重要作用，积极鼓励和引导农业企业、社会化服务组织等各类社会主体参与项目建设。在市级及以上媒体宣传报道不少于 1 次。</w:t>
      </w:r>
    </w:p>
    <w:p w14:paraId="69F12924">
      <w:pPr>
        <w:pStyle w:val="4"/>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eastAsia" w:ascii="Times New Roman" w:hAnsi="Times New Roman" w:eastAsia="仿宋_GB2312"/>
          <w:b w:val="0"/>
          <w:bCs w:val="0"/>
          <w:sz w:val="32"/>
          <w:szCs w:val="32"/>
        </w:rPr>
      </w:pPr>
    </w:p>
    <w:p w14:paraId="464DE302">
      <w:pPr>
        <w:pStyle w:val="4"/>
        <w:keepNext w:val="0"/>
        <w:keepLines w:val="0"/>
        <w:pageBreakBefore w:val="0"/>
        <w:widowControl w:val="0"/>
        <w:kinsoku/>
        <w:wordWrap/>
        <w:overflowPunct/>
        <w:topLinePunct w:val="0"/>
        <w:autoSpaceDE/>
        <w:autoSpaceDN/>
        <w:bidi w:val="0"/>
        <w:adjustRightInd/>
        <w:snapToGrid/>
        <w:spacing w:line="560" w:lineRule="exact"/>
        <w:ind w:left="1278" w:leftChars="304" w:hanging="640" w:hangingChars="200"/>
        <w:jc w:val="left"/>
        <w:textAlignment w:val="auto"/>
        <w:rPr>
          <w:rFonts w:ascii="Times New Roman" w:hAnsi="Times New Roman" w:eastAsia="仿宋_GB2312"/>
          <w:b w:val="0"/>
          <w:bCs w:val="0"/>
          <w:sz w:val="32"/>
          <w:szCs w:val="32"/>
        </w:rPr>
      </w:pPr>
      <w:r>
        <w:rPr>
          <w:rFonts w:hint="eastAsia" w:ascii="Times New Roman" w:hAnsi="Times New Roman" w:eastAsia="仿宋_GB2312"/>
          <w:b w:val="0"/>
          <w:bCs w:val="0"/>
          <w:sz w:val="32"/>
          <w:szCs w:val="32"/>
        </w:rPr>
        <w:t>附件：</w:t>
      </w:r>
      <w:r>
        <w:rPr>
          <w:rFonts w:hint="eastAsia" w:ascii="Times New Roman" w:hAnsi="Times New Roman" w:eastAsia="仿宋_GB2312"/>
          <w:b w:val="0"/>
          <w:bCs w:val="0"/>
          <w:sz w:val="32"/>
          <w:szCs w:val="32"/>
          <w:lang w:val="en-US" w:eastAsia="zh-CN"/>
        </w:rPr>
        <w:t>1</w:t>
      </w:r>
      <w:r>
        <w:rPr>
          <w:rFonts w:hint="eastAsia" w:ascii="Times New Roman" w:hAnsi="Times New Roman" w:eastAsia="仿宋_GB2312"/>
          <w:b w:val="0"/>
          <w:bCs w:val="0"/>
          <w:sz w:val="32"/>
          <w:szCs w:val="32"/>
        </w:rPr>
        <w:t>.鱼峰区2026年农作物秸秆综合项目任务安排表</w:t>
      </w:r>
    </w:p>
    <w:p w14:paraId="5E583281">
      <w:pPr>
        <w:pStyle w:val="4"/>
        <w:keepNext w:val="0"/>
        <w:keepLines w:val="0"/>
        <w:pageBreakBefore w:val="0"/>
        <w:widowControl w:val="0"/>
        <w:kinsoku/>
        <w:wordWrap/>
        <w:overflowPunct/>
        <w:topLinePunct w:val="0"/>
        <w:autoSpaceDE/>
        <w:autoSpaceDN/>
        <w:bidi w:val="0"/>
        <w:adjustRightInd/>
        <w:snapToGrid/>
        <w:spacing w:line="560" w:lineRule="exact"/>
        <w:ind w:left="1916" w:leftChars="760" w:hanging="320" w:hangingChars="100"/>
        <w:jc w:val="left"/>
        <w:textAlignment w:val="auto"/>
        <w:rPr>
          <w:rFonts w:hint="eastAsia" w:ascii="Times New Roman" w:hAnsi="Times New Roman" w:eastAsia="仿宋_GB2312"/>
          <w:b w:val="0"/>
          <w:bCs w:val="0"/>
          <w:sz w:val="32"/>
          <w:szCs w:val="32"/>
        </w:rPr>
      </w:pPr>
      <w:r>
        <w:rPr>
          <w:rFonts w:hint="eastAsia" w:ascii="Times New Roman" w:hAnsi="Times New Roman" w:eastAsia="仿宋_GB2312"/>
          <w:b w:val="0"/>
          <w:bCs w:val="0"/>
          <w:sz w:val="32"/>
          <w:szCs w:val="32"/>
          <w:lang w:val="en-US" w:eastAsia="zh-CN"/>
        </w:rPr>
        <w:t>2</w:t>
      </w:r>
      <w:r>
        <w:rPr>
          <w:rFonts w:hint="eastAsia" w:ascii="Times New Roman" w:hAnsi="Times New Roman" w:eastAsia="仿宋_GB2312"/>
          <w:b w:val="0"/>
          <w:bCs w:val="0"/>
          <w:sz w:val="32"/>
          <w:szCs w:val="32"/>
        </w:rPr>
        <w:t>.鱼峰区2026年度秸秆综合利用项目资金使用分配计划表</w:t>
      </w:r>
    </w:p>
    <w:p w14:paraId="55601104">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jc w:val="both"/>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b w:val="0"/>
          <w:bCs w:val="0"/>
          <w:sz w:val="32"/>
          <w:szCs w:val="32"/>
          <w:lang w:val="en-US" w:eastAsia="zh-CN"/>
        </w:rPr>
        <w:t>3.鱼峰区2026-2027年度秸秆综合利用奖补细则</w:t>
      </w:r>
    </w:p>
    <w:p w14:paraId="54B385DE">
      <w:pPr>
        <w:pStyle w:val="4"/>
        <w:keepNext w:val="0"/>
        <w:keepLines w:val="0"/>
        <w:pageBreakBefore w:val="0"/>
        <w:kinsoku/>
        <w:wordWrap/>
        <w:overflowPunct/>
        <w:topLinePunct w:val="0"/>
        <w:autoSpaceDE/>
        <w:autoSpaceDN/>
        <w:bidi w:val="0"/>
        <w:spacing w:line="560" w:lineRule="exact"/>
        <w:ind w:left="0" w:leftChars="0"/>
        <w:jc w:val="left"/>
        <w:textAlignment w:val="auto"/>
        <w:rPr>
          <w:rFonts w:hint="eastAsia" w:ascii="仿宋_GB2312" w:hAnsi="仿宋_GB2312" w:eastAsia="仿宋_GB2312" w:cs="仿宋_GB2312"/>
          <w:b w:val="0"/>
          <w:bCs w:val="0"/>
          <w:sz w:val="32"/>
          <w:szCs w:val="32"/>
        </w:rPr>
      </w:pPr>
    </w:p>
    <w:p w14:paraId="4FAD5E7A">
      <w:pPr>
        <w:pStyle w:val="4"/>
        <w:keepNext w:val="0"/>
        <w:keepLines w:val="0"/>
        <w:pageBreakBefore w:val="0"/>
        <w:kinsoku/>
        <w:wordWrap/>
        <w:overflowPunct/>
        <w:topLinePunct w:val="0"/>
        <w:autoSpaceDE/>
        <w:autoSpaceDN/>
        <w:bidi w:val="0"/>
        <w:spacing w:line="560" w:lineRule="exact"/>
        <w:ind w:left="0" w:leftChars="0"/>
        <w:jc w:val="left"/>
        <w:textAlignment w:val="auto"/>
        <w:rPr>
          <w:rFonts w:hint="eastAsia" w:ascii="仿宋_GB2312" w:hAnsi="仿宋_GB2312" w:eastAsia="仿宋_GB2312" w:cs="仿宋_GB2312"/>
          <w:b w:val="0"/>
          <w:bCs w:val="0"/>
          <w:sz w:val="32"/>
          <w:szCs w:val="32"/>
        </w:rPr>
      </w:pPr>
    </w:p>
    <w:p w14:paraId="20F6EF45">
      <w:pPr>
        <w:pStyle w:val="4"/>
        <w:keepNext w:val="0"/>
        <w:keepLines w:val="0"/>
        <w:pageBreakBefore w:val="0"/>
        <w:kinsoku/>
        <w:wordWrap/>
        <w:overflowPunct/>
        <w:topLinePunct w:val="0"/>
        <w:autoSpaceDE/>
        <w:autoSpaceDN/>
        <w:bidi w:val="0"/>
        <w:spacing w:line="560" w:lineRule="exact"/>
        <w:ind w:left="0" w:leftChars="0"/>
        <w:jc w:val="left"/>
        <w:textAlignment w:val="auto"/>
        <w:rPr>
          <w:rFonts w:hint="eastAsia" w:ascii="仿宋_GB2312" w:hAnsi="仿宋_GB2312" w:eastAsia="仿宋_GB2312" w:cs="仿宋_GB2312"/>
          <w:b w:val="0"/>
          <w:bCs w:val="0"/>
          <w:sz w:val="32"/>
          <w:szCs w:val="32"/>
        </w:rPr>
      </w:pPr>
    </w:p>
    <w:p w14:paraId="5B09A7FD">
      <w:pPr>
        <w:pStyle w:val="4"/>
        <w:keepNext w:val="0"/>
        <w:keepLines w:val="0"/>
        <w:pageBreakBefore w:val="0"/>
        <w:kinsoku/>
        <w:wordWrap/>
        <w:overflowPunct/>
        <w:topLinePunct w:val="0"/>
        <w:autoSpaceDE/>
        <w:autoSpaceDN/>
        <w:bidi w:val="0"/>
        <w:spacing w:line="560" w:lineRule="exact"/>
        <w:ind w:left="0" w:leftChars="0"/>
        <w:jc w:val="left"/>
        <w:textAlignment w:val="auto"/>
        <w:rPr>
          <w:rFonts w:hint="eastAsia" w:ascii="仿宋_GB2312" w:hAnsi="仿宋_GB2312" w:eastAsia="仿宋_GB2312" w:cs="仿宋_GB2312"/>
          <w:b w:val="0"/>
          <w:bCs w:val="0"/>
          <w:sz w:val="32"/>
          <w:szCs w:val="32"/>
        </w:rPr>
      </w:pPr>
    </w:p>
    <w:p w14:paraId="1A8FFF4F">
      <w:pPr>
        <w:pStyle w:val="4"/>
        <w:keepNext w:val="0"/>
        <w:keepLines w:val="0"/>
        <w:pageBreakBefore w:val="0"/>
        <w:kinsoku/>
        <w:wordWrap/>
        <w:overflowPunct/>
        <w:topLinePunct w:val="0"/>
        <w:autoSpaceDE/>
        <w:autoSpaceDN/>
        <w:bidi w:val="0"/>
        <w:spacing w:line="560" w:lineRule="exact"/>
        <w:ind w:left="0" w:leftChars="0"/>
        <w:jc w:val="left"/>
        <w:textAlignment w:val="auto"/>
        <w:rPr>
          <w:rFonts w:hint="eastAsia" w:ascii="仿宋_GB2312" w:hAnsi="仿宋_GB2312" w:eastAsia="仿宋_GB2312" w:cs="仿宋_GB2312"/>
          <w:b w:val="0"/>
          <w:bCs w:val="0"/>
          <w:sz w:val="32"/>
          <w:szCs w:val="32"/>
        </w:rPr>
      </w:pPr>
    </w:p>
    <w:p w14:paraId="4B1A92CD">
      <w:pPr>
        <w:pStyle w:val="4"/>
        <w:keepNext w:val="0"/>
        <w:keepLines w:val="0"/>
        <w:pageBreakBefore w:val="0"/>
        <w:kinsoku/>
        <w:wordWrap/>
        <w:overflowPunct/>
        <w:topLinePunct w:val="0"/>
        <w:autoSpaceDE/>
        <w:autoSpaceDN/>
        <w:bidi w:val="0"/>
        <w:spacing w:line="560" w:lineRule="exact"/>
        <w:ind w:left="0" w:leftChars="0"/>
        <w:jc w:val="left"/>
        <w:textAlignment w:val="auto"/>
        <w:rPr>
          <w:rFonts w:hint="eastAsia" w:ascii="仿宋_GB2312" w:hAnsi="仿宋_GB2312" w:eastAsia="仿宋_GB2312" w:cs="仿宋_GB2312"/>
          <w:b w:val="0"/>
          <w:bCs w:val="0"/>
          <w:sz w:val="32"/>
          <w:szCs w:val="32"/>
        </w:rPr>
      </w:pPr>
    </w:p>
    <w:p w14:paraId="41F3038E">
      <w:pPr>
        <w:pStyle w:val="4"/>
        <w:keepNext w:val="0"/>
        <w:keepLines w:val="0"/>
        <w:pageBreakBefore w:val="0"/>
        <w:kinsoku/>
        <w:wordWrap/>
        <w:overflowPunct/>
        <w:topLinePunct w:val="0"/>
        <w:autoSpaceDE/>
        <w:autoSpaceDN/>
        <w:bidi w:val="0"/>
        <w:spacing w:line="560" w:lineRule="exact"/>
        <w:ind w:left="0" w:leftChars="0"/>
        <w:jc w:val="left"/>
        <w:textAlignment w:val="auto"/>
        <w:rPr>
          <w:rFonts w:hint="eastAsia" w:ascii="仿宋_GB2312" w:hAnsi="仿宋_GB2312" w:eastAsia="仿宋_GB2312" w:cs="仿宋_GB2312"/>
          <w:b w:val="0"/>
          <w:bCs w:val="0"/>
          <w:sz w:val="32"/>
          <w:szCs w:val="32"/>
        </w:rPr>
      </w:pPr>
    </w:p>
    <w:p w14:paraId="00BAAE87">
      <w:pPr>
        <w:pStyle w:val="4"/>
        <w:keepNext w:val="0"/>
        <w:keepLines w:val="0"/>
        <w:pageBreakBefore w:val="0"/>
        <w:kinsoku/>
        <w:wordWrap/>
        <w:overflowPunct/>
        <w:topLinePunct w:val="0"/>
        <w:autoSpaceDE/>
        <w:autoSpaceDN/>
        <w:bidi w:val="0"/>
        <w:spacing w:line="560" w:lineRule="exact"/>
        <w:ind w:left="0" w:leftChars="0"/>
        <w:jc w:val="left"/>
        <w:textAlignment w:val="auto"/>
        <w:rPr>
          <w:rFonts w:hint="eastAsia" w:ascii="仿宋_GB2312" w:hAnsi="仿宋_GB2312" w:eastAsia="仿宋_GB2312" w:cs="仿宋_GB2312"/>
          <w:b w:val="0"/>
          <w:bCs w:val="0"/>
          <w:sz w:val="32"/>
          <w:szCs w:val="32"/>
        </w:rPr>
      </w:pPr>
    </w:p>
    <w:p w14:paraId="2FC3F98D">
      <w:pPr>
        <w:pStyle w:val="4"/>
        <w:keepNext w:val="0"/>
        <w:keepLines w:val="0"/>
        <w:pageBreakBefore w:val="0"/>
        <w:kinsoku/>
        <w:wordWrap/>
        <w:overflowPunct/>
        <w:topLinePunct w:val="0"/>
        <w:autoSpaceDE/>
        <w:autoSpaceDN/>
        <w:bidi w:val="0"/>
        <w:spacing w:line="560" w:lineRule="exact"/>
        <w:ind w:left="0" w:leftChars="0"/>
        <w:jc w:val="left"/>
        <w:textAlignment w:val="auto"/>
        <w:rPr>
          <w:rFonts w:hint="eastAsia" w:ascii="黑体" w:hAnsi="黑体" w:eastAsia="黑体" w:cs="黑体"/>
          <w:spacing w:val="7"/>
          <w:sz w:val="43"/>
          <w:szCs w:val="43"/>
          <w:lang w:eastAsia="zh-CN"/>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1</w:t>
      </w:r>
    </w:p>
    <w:p w14:paraId="48BCBF04">
      <w:pPr>
        <w:keepNext w:val="0"/>
        <w:keepLines w:val="0"/>
        <w:pageBreakBefore w:val="0"/>
        <w:kinsoku/>
        <w:wordWrap/>
        <w:overflowPunct/>
        <w:topLinePunct w:val="0"/>
        <w:autoSpaceDE/>
        <w:autoSpaceDN/>
        <w:bidi w:val="0"/>
        <w:spacing w:line="560" w:lineRule="exact"/>
        <w:ind w:left="0" w:leftChars="0"/>
        <w:jc w:val="center"/>
        <w:textAlignment w:val="auto"/>
        <w:outlineLvl w:val="0"/>
        <w:rPr>
          <w:rFonts w:ascii="方正小标宋简体" w:hAnsi="方正小标宋简体" w:eastAsia="方正小标宋简体" w:cs="方正小标宋简体"/>
          <w:spacing w:val="8"/>
          <w:sz w:val="43"/>
          <w:szCs w:val="43"/>
        </w:rPr>
      </w:pPr>
      <w:r>
        <w:rPr>
          <w:rFonts w:hint="eastAsia" w:ascii="方正小标宋简体" w:hAnsi="方正小标宋简体" w:eastAsia="方正小标宋简体" w:cs="方正小标宋简体"/>
          <w:spacing w:val="7"/>
          <w:sz w:val="43"/>
          <w:szCs w:val="43"/>
        </w:rPr>
        <w:t>鱼峰区</w:t>
      </w:r>
      <w:r>
        <w:rPr>
          <w:rFonts w:ascii="方正小标宋简体" w:hAnsi="方正小标宋简体" w:eastAsia="方正小标宋简体" w:cs="方正小标宋简体"/>
          <w:spacing w:val="7"/>
          <w:sz w:val="43"/>
          <w:szCs w:val="43"/>
        </w:rPr>
        <w:t>202</w:t>
      </w:r>
      <w:r>
        <w:rPr>
          <w:rFonts w:hint="eastAsia" w:ascii="方正小标宋简体" w:hAnsi="方正小标宋简体" w:eastAsia="方正小标宋简体" w:cs="方正小标宋简体"/>
          <w:spacing w:val="7"/>
          <w:sz w:val="43"/>
          <w:szCs w:val="43"/>
        </w:rPr>
        <w:t>6</w:t>
      </w:r>
      <w:r>
        <w:rPr>
          <w:rFonts w:ascii="方正小标宋简体" w:hAnsi="方正小标宋简体" w:eastAsia="方正小标宋简体" w:cs="方正小标宋简体"/>
          <w:spacing w:val="7"/>
          <w:sz w:val="43"/>
          <w:szCs w:val="43"/>
        </w:rPr>
        <w:t>年农作物秸秆综合</w:t>
      </w:r>
      <w:r>
        <w:rPr>
          <w:rFonts w:ascii="方正小标宋简体" w:hAnsi="方正小标宋简体" w:eastAsia="方正小标宋简体" w:cs="方正小标宋简体"/>
          <w:spacing w:val="8"/>
          <w:sz w:val="43"/>
          <w:szCs w:val="43"/>
        </w:rPr>
        <w:t>利用项目</w:t>
      </w:r>
    </w:p>
    <w:p w14:paraId="08A9370A">
      <w:pPr>
        <w:keepNext w:val="0"/>
        <w:keepLines w:val="0"/>
        <w:pageBreakBefore w:val="0"/>
        <w:kinsoku/>
        <w:wordWrap/>
        <w:overflowPunct/>
        <w:topLinePunct w:val="0"/>
        <w:autoSpaceDE/>
        <w:autoSpaceDN/>
        <w:bidi w:val="0"/>
        <w:spacing w:line="560" w:lineRule="exact"/>
        <w:ind w:left="0" w:leftChars="0"/>
        <w:jc w:val="center"/>
        <w:textAlignment w:val="auto"/>
        <w:outlineLvl w:val="0"/>
        <w:rPr>
          <w:rFonts w:ascii="方正小标宋简体" w:hAnsi="方正小标宋简体" w:eastAsia="方正小标宋简体" w:cs="方正小标宋简体"/>
          <w:sz w:val="43"/>
          <w:szCs w:val="43"/>
        </w:rPr>
      </w:pPr>
      <w:r>
        <w:rPr>
          <w:rFonts w:hint="eastAsia" w:ascii="方正小标宋简体" w:hAnsi="方正小标宋简体" w:eastAsia="方正小标宋简体" w:cs="方正小标宋简体"/>
          <w:spacing w:val="8"/>
          <w:sz w:val="43"/>
          <w:szCs w:val="43"/>
        </w:rPr>
        <w:t>建设</w:t>
      </w:r>
      <w:r>
        <w:rPr>
          <w:rFonts w:ascii="方正小标宋简体" w:hAnsi="方正小标宋简体" w:eastAsia="方正小标宋简体" w:cs="方正小标宋简体"/>
          <w:spacing w:val="8"/>
          <w:sz w:val="43"/>
          <w:szCs w:val="43"/>
        </w:rPr>
        <w:t>任务安排表</w:t>
      </w:r>
    </w:p>
    <w:tbl>
      <w:tblPr>
        <w:tblStyle w:val="9"/>
        <w:tblpPr w:leftFromText="180" w:rightFromText="180" w:vertAnchor="text" w:horzAnchor="page" w:tblpXSpec="center" w:tblpY="992"/>
        <w:tblOverlap w:val="never"/>
        <w:tblW w:w="92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0"/>
        <w:gridCol w:w="1271"/>
        <w:gridCol w:w="1875"/>
        <w:gridCol w:w="2355"/>
        <w:gridCol w:w="2100"/>
        <w:gridCol w:w="985"/>
      </w:tblGrid>
      <w:tr w14:paraId="3912B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9" w:hRule="atLeast"/>
          <w:jc w:val="center"/>
        </w:trPr>
        <w:tc>
          <w:tcPr>
            <w:tcW w:w="690" w:type="dxa"/>
            <w:noWrap w:val="0"/>
            <w:vAlign w:val="top"/>
          </w:tcPr>
          <w:p w14:paraId="28DE7270">
            <w:pPr>
              <w:pStyle w:val="13"/>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spacing w:val="-3"/>
                <w:sz w:val="24"/>
                <w:szCs w:val="24"/>
                <w:lang w:eastAsia="zh-CN"/>
              </w:rPr>
            </w:pPr>
            <w:r>
              <w:rPr>
                <w:rFonts w:hint="eastAsia"/>
                <w:spacing w:val="-3"/>
                <w:sz w:val="24"/>
                <w:szCs w:val="24"/>
                <w:lang w:eastAsia="zh-CN"/>
              </w:rPr>
              <w:t>序号</w:t>
            </w:r>
          </w:p>
        </w:tc>
        <w:tc>
          <w:tcPr>
            <w:tcW w:w="1271" w:type="dxa"/>
            <w:noWrap w:val="0"/>
            <w:vAlign w:val="top"/>
          </w:tcPr>
          <w:p w14:paraId="6A8306BA">
            <w:pPr>
              <w:pStyle w:val="13"/>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spacing w:val="-3"/>
                <w:sz w:val="24"/>
                <w:szCs w:val="24"/>
                <w:lang w:eastAsia="zh-CN"/>
              </w:rPr>
            </w:pPr>
            <w:r>
              <w:rPr>
                <w:rFonts w:hint="eastAsia"/>
                <w:spacing w:val="-3"/>
                <w:sz w:val="24"/>
                <w:szCs w:val="24"/>
                <w:lang w:eastAsia="zh-CN"/>
              </w:rPr>
              <w:t>乡（镇）</w:t>
            </w:r>
          </w:p>
        </w:tc>
        <w:tc>
          <w:tcPr>
            <w:tcW w:w="1875" w:type="dxa"/>
            <w:noWrap w:val="0"/>
            <w:vAlign w:val="top"/>
          </w:tcPr>
          <w:p w14:paraId="0671C457">
            <w:pPr>
              <w:pStyle w:val="13"/>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sz w:val="24"/>
                <w:szCs w:val="24"/>
                <w:lang w:eastAsia="zh-CN"/>
              </w:rPr>
            </w:pPr>
            <w:r>
              <w:rPr>
                <w:rFonts w:hint="eastAsia"/>
                <w:spacing w:val="-3"/>
                <w:sz w:val="24"/>
                <w:szCs w:val="24"/>
                <w:lang w:eastAsia="zh-CN"/>
              </w:rPr>
              <w:t>培育秸秆收储队伍数量（</w:t>
            </w:r>
            <w:r>
              <w:rPr>
                <w:rFonts w:hint="eastAsia"/>
                <w:spacing w:val="-5"/>
                <w:sz w:val="24"/>
                <w:szCs w:val="24"/>
                <w:lang w:eastAsia="zh-CN"/>
              </w:rPr>
              <w:t>支）</w:t>
            </w:r>
          </w:p>
        </w:tc>
        <w:tc>
          <w:tcPr>
            <w:tcW w:w="2355" w:type="dxa"/>
            <w:noWrap w:val="0"/>
            <w:vAlign w:val="top"/>
          </w:tcPr>
          <w:p w14:paraId="412B0766">
            <w:pPr>
              <w:pStyle w:val="13"/>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spacing w:val="-3"/>
                <w:sz w:val="24"/>
                <w:szCs w:val="24"/>
                <w:lang w:eastAsia="zh-CN"/>
              </w:rPr>
            </w:pPr>
            <w:r>
              <w:rPr>
                <w:rFonts w:hint="eastAsia"/>
                <w:spacing w:val="-3"/>
                <w:sz w:val="24"/>
                <w:szCs w:val="24"/>
                <w:lang w:eastAsia="zh-CN"/>
              </w:rPr>
              <w:t>培育建成规模千吨以上利用主体数量</w:t>
            </w:r>
          </w:p>
        </w:tc>
        <w:tc>
          <w:tcPr>
            <w:tcW w:w="2100" w:type="dxa"/>
            <w:noWrap w:val="0"/>
            <w:vAlign w:val="top"/>
          </w:tcPr>
          <w:p w14:paraId="36F8A1F6">
            <w:pPr>
              <w:pStyle w:val="13"/>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spacing w:val="-3"/>
                <w:sz w:val="24"/>
                <w:szCs w:val="24"/>
                <w:lang w:eastAsia="zh-CN"/>
              </w:rPr>
            </w:pPr>
            <w:r>
              <w:rPr>
                <w:rFonts w:hint="eastAsia"/>
                <w:spacing w:val="-3"/>
                <w:sz w:val="24"/>
                <w:szCs w:val="24"/>
                <w:lang w:eastAsia="zh-CN"/>
              </w:rPr>
              <w:t>建设快速腐熟还田技术模式示范区（单个300以上）</w:t>
            </w:r>
          </w:p>
        </w:tc>
        <w:tc>
          <w:tcPr>
            <w:tcW w:w="985" w:type="dxa"/>
            <w:noWrap w:val="0"/>
            <w:vAlign w:val="top"/>
          </w:tcPr>
          <w:p w14:paraId="2D3F1867">
            <w:pPr>
              <w:pStyle w:val="13"/>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spacing w:val="-3"/>
                <w:sz w:val="24"/>
                <w:szCs w:val="24"/>
                <w:lang w:eastAsia="zh-CN"/>
              </w:rPr>
            </w:pPr>
            <w:r>
              <w:rPr>
                <w:rFonts w:hint="eastAsia"/>
                <w:spacing w:val="-3"/>
                <w:sz w:val="24"/>
                <w:szCs w:val="24"/>
                <w:lang w:eastAsia="zh-CN"/>
              </w:rPr>
              <w:t>备注</w:t>
            </w:r>
          </w:p>
        </w:tc>
      </w:tr>
      <w:tr w14:paraId="78517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0" w:hRule="atLeast"/>
          <w:jc w:val="center"/>
        </w:trPr>
        <w:tc>
          <w:tcPr>
            <w:tcW w:w="690" w:type="dxa"/>
            <w:noWrap w:val="0"/>
            <w:vAlign w:val="center"/>
          </w:tcPr>
          <w:p w14:paraId="35B1E303">
            <w:pPr>
              <w:keepNext w:val="0"/>
              <w:keepLines w:val="0"/>
              <w:pageBreakBefore w:val="0"/>
              <w:kinsoku/>
              <w:wordWrap/>
              <w:overflowPunct/>
              <w:topLinePunct w:val="0"/>
              <w:autoSpaceDE/>
              <w:autoSpaceDN/>
              <w:bidi w:val="0"/>
              <w:spacing w:line="560" w:lineRule="exact"/>
              <w:ind w:left="0" w:lef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position w:val="1"/>
                <w:sz w:val="32"/>
                <w:szCs w:val="32"/>
              </w:rPr>
              <w:t>1</w:t>
            </w:r>
          </w:p>
        </w:tc>
        <w:tc>
          <w:tcPr>
            <w:tcW w:w="1271" w:type="dxa"/>
            <w:noWrap w:val="0"/>
            <w:vAlign w:val="center"/>
          </w:tcPr>
          <w:p w14:paraId="7B7BC0AA">
            <w:pPr>
              <w:pStyle w:val="13"/>
              <w:keepNext w:val="0"/>
              <w:keepLines w:val="0"/>
              <w:pageBreakBefore w:val="0"/>
              <w:kinsoku/>
              <w:wordWrap/>
              <w:overflowPunct/>
              <w:topLinePunct w:val="0"/>
              <w:autoSpaceDE/>
              <w:autoSpaceDN/>
              <w:bidi w:val="0"/>
              <w:spacing w:line="560" w:lineRule="exact"/>
              <w:ind w:left="0" w:leftChars="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雒容镇</w:t>
            </w:r>
          </w:p>
        </w:tc>
        <w:tc>
          <w:tcPr>
            <w:tcW w:w="1875" w:type="dxa"/>
            <w:noWrap w:val="0"/>
            <w:vAlign w:val="center"/>
          </w:tcPr>
          <w:p w14:paraId="60296673">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p>
        </w:tc>
        <w:tc>
          <w:tcPr>
            <w:tcW w:w="2355" w:type="dxa"/>
            <w:noWrap w:val="0"/>
            <w:vAlign w:val="center"/>
          </w:tcPr>
          <w:p w14:paraId="28557EC3">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2100" w:type="dxa"/>
            <w:noWrap w:val="0"/>
            <w:vAlign w:val="center"/>
          </w:tcPr>
          <w:p w14:paraId="6A743589">
            <w:pPr>
              <w:jc w:val="center"/>
              <w:rPr>
                <w:rFonts w:hint="eastAsia" w:ascii="仿宋_GB2312" w:hAnsi="仿宋_GB2312" w:eastAsia="仿宋_GB2312" w:cs="仿宋_GB2312"/>
                <w:sz w:val="32"/>
                <w:szCs w:val="32"/>
                <w:lang w:val="en-US" w:eastAsia="zh-CN"/>
              </w:rPr>
            </w:pPr>
          </w:p>
          <w:p w14:paraId="0D4F9BAD">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p>
          <w:p w14:paraId="2D023292">
            <w:pPr>
              <w:jc w:val="center"/>
              <w:rPr>
                <w:rFonts w:hint="eastAsia" w:ascii="仿宋_GB2312" w:hAnsi="仿宋_GB2312" w:eastAsia="仿宋_GB2312" w:cs="仿宋_GB2312"/>
                <w:sz w:val="32"/>
                <w:szCs w:val="32"/>
                <w:lang w:val="en-US" w:eastAsia="zh-CN"/>
              </w:rPr>
            </w:pPr>
          </w:p>
        </w:tc>
        <w:tc>
          <w:tcPr>
            <w:tcW w:w="985" w:type="dxa"/>
            <w:noWrap w:val="0"/>
            <w:vAlign w:val="top"/>
          </w:tcPr>
          <w:p w14:paraId="14648FC6">
            <w:pPr>
              <w:keepNext w:val="0"/>
              <w:keepLines w:val="0"/>
              <w:pageBreakBefore w:val="0"/>
              <w:kinsoku/>
              <w:wordWrap/>
              <w:overflowPunct/>
              <w:topLinePunct w:val="0"/>
              <w:autoSpaceDE/>
              <w:autoSpaceDN/>
              <w:bidi w:val="0"/>
              <w:spacing w:line="560" w:lineRule="exact"/>
              <w:ind w:left="0" w:leftChars="0"/>
              <w:textAlignment w:val="auto"/>
              <w:rPr>
                <w:rFonts w:ascii="Arial"/>
              </w:rPr>
            </w:pPr>
          </w:p>
        </w:tc>
      </w:tr>
      <w:tr w14:paraId="476D8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264" w:hRule="atLeast"/>
          <w:jc w:val="center"/>
        </w:trPr>
        <w:tc>
          <w:tcPr>
            <w:tcW w:w="690" w:type="dxa"/>
            <w:noWrap w:val="0"/>
            <w:vAlign w:val="center"/>
          </w:tcPr>
          <w:p w14:paraId="2378C7C2">
            <w:pPr>
              <w:keepNext w:val="0"/>
              <w:keepLines w:val="0"/>
              <w:pageBreakBefore w:val="0"/>
              <w:kinsoku/>
              <w:wordWrap/>
              <w:overflowPunct/>
              <w:topLinePunct w:val="0"/>
              <w:autoSpaceDE/>
              <w:autoSpaceDN/>
              <w:bidi w:val="0"/>
              <w:spacing w:line="560" w:lineRule="exact"/>
              <w:ind w:left="0" w:lef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position w:val="1"/>
                <w:sz w:val="32"/>
                <w:szCs w:val="32"/>
              </w:rPr>
              <w:t>2</w:t>
            </w:r>
          </w:p>
        </w:tc>
        <w:tc>
          <w:tcPr>
            <w:tcW w:w="1271" w:type="dxa"/>
            <w:noWrap w:val="0"/>
            <w:vAlign w:val="center"/>
          </w:tcPr>
          <w:p w14:paraId="4EBB8647">
            <w:pPr>
              <w:pStyle w:val="13"/>
              <w:keepNext w:val="0"/>
              <w:keepLines w:val="0"/>
              <w:pageBreakBefore w:val="0"/>
              <w:kinsoku/>
              <w:wordWrap/>
              <w:overflowPunct/>
              <w:topLinePunct w:val="0"/>
              <w:autoSpaceDE/>
              <w:autoSpaceDN/>
              <w:bidi w:val="0"/>
              <w:spacing w:line="560" w:lineRule="exact"/>
              <w:ind w:left="0" w:leftChars="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里雍镇</w:t>
            </w:r>
          </w:p>
        </w:tc>
        <w:tc>
          <w:tcPr>
            <w:tcW w:w="1875" w:type="dxa"/>
            <w:noWrap w:val="0"/>
            <w:vAlign w:val="center"/>
          </w:tcPr>
          <w:p w14:paraId="34138CFF">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2355" w:type="dxa"/>
            <w:noWrap w:val="0"/>
            <w:vAlign w:val="center"/>
          </w:tcPr>
          <w:p w14:paraId="5B0F87E1">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2100" w:type="dxa"/>
            <w:noWrap w:val="0"/>
            <w:vAlign w:val="center"/>
          </w:tcPr>
          <w:p w14:paraId="698865DE">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noWrap w:val="0"/>
            <w:vAlign w:val="top"/>
          </w:tcPr>
          <w:p w14:paraId="5AE526C7">
            <w:pPr>
              <w:keepNext w:val="0"/>
              <w:keepLines w:val="0"/>
              <w:pageBreakBefore w:val="0"/>
              <w:kinsoku/>
              <w:wordWrap/>
              <w:overflowPunct/>
              <w:topLinePunct w:val="0"/>
              <w:autoSpaceDE/>
              <w:autoSpaceDN/>
              <w:bidi w:val="0"/>
              <w:spacing w:line="560" w:lineRule="exact"/>
              <w:ind w:left="0" w:leftChars="0"/>
              <w:textAlignment w:val="auto"/>
              <w:rPr>
                <w:rFonts w:ascii="Arial"/>
              </w:rPr>
            </w:pPr>
          </w:p>
        </w:tc>
      </w:tr>
      <w:tr w14:paraId="5DCD0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4" w:hRule="atLeast"/>
          <w:jc w:val="center"/>
        </w:trPr>
        <w:tc>
          <w:tcPr>
            <w:tcW w:w="690" w:type="dxa"/>
            <w:noWrap w:val="0"/>
            <w:vAlign w:val="center"/>
          </w:tcPr>
          <w:p w14:paraId="1E306BE4">
            <w:pPr>
              <w:keepNext w:val="0"/>
              <w:keepLines w:val="0"/>
              <w:pageBreakBefore w:val="0"/>
              <w:kinsoku/>
              <w:wordWrap/>
              <w:overflowPunct/>
              <w:topLinePunct w:val="0"/>
              <w:autoSpaceDE/>
              <w:autoSpaceDN/>
              <w:bidi w:val="0"/>
              <w:spacing w:line="560" w:lineRule="exact"/>
              <w:ind w:left="0" w:lef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position w:val="1"/>
                <w:sz w:val="32"/>
                <w:szCs w:val="32"/>
              </w:rPr>
              <w:t>3</w:t>
            </w:r>
          </w:p>
        </w:tc>
        <w:tc>
          <w:tcPr>
            <w:tcW w:w="1271" w:type="dxa"/>
            <w:noWrap w:val="0"/>
            <w:vAlign w:val="center"/>
          </w:tcPr>
          <w:p w14:paraId="44613DB8">
            <w:pPr>
              <w:pStyle w:val="13"/>
              <w:keepNext w:val="0"/>
              <w:keepLines w:val="0"/>
              <w:pageBreakBefore w:val="0"/>
              <w:kinsoku/>
              <w:wordWrap/>
              <w:overflowPunct/>
              <w:topLinePunct w:val="0"/>
              <w:autoSpaceDE/>
              <w:autoSpaceDN/>
              <w:bidi w:val="0"/>
              <w:spacing w:line="560" w:lineRule="exact"/>
              <w:ind w:left="0" w:leftChars="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白沙镇</w:t>
            </w:r>
          </w:p>
        </w:tc>
        <w:tc>
          <w:tcPr>
            <w:tcW w:w="1875" w:type="dxa"/>
            <w:noWrap w:val="0"/>
            <w:vAlign w:val="center"/>
          </w:tcPr>
          <w:p w14:paraId="08AF480B">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2355" w:type="dxa"/>
            <w:noWrap w:val="0"/>
            <w:vAlign w:val="center"/>
          </w:tcPr>
          <w:p w14:paraId="305FA465">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2100" w:type="dxa"/>
            <w:noWrap w:val="0"/>
            <w:vAlign w:val="center"/>
          </w:tcPr>
          <w:p w14:paraId="5985B850">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noWrap w:val="0"/>
            <w:vAlign w:val="top"/>
          </w:tcPr>
          <w:p w14:paraId="5E14C8FD">
            <w:pPr>
              <w:keepNext w:val="0"/>
              <w:keepLines w:val="0"/>
              <w:pageBreakBefore w:val="0"/>
              <w:kinsoku/>
              <w:wordWrap/>
              <w:overflowPunct/>
              <w:topLinePunct w:val="0"/>
              <w:autoSpaceDE/>
              <w:autoSpaceDN/>
              <w:bidi w:val="0"/>
              <w:spacing w:line="560" w:lineRule="exact"/>
              <w:ind w:left="0" w:leftChars="0"/>
              <w:textAlignment w:val="auto"/>
              <w:rPr>
                <w:rFonts w:ascii="Arial"/>
              </w:rPr>
            </w:pPr>
          </w:p>
        </w:tc>
      </w:tr>
      <w:tr w14:paraId="5177E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690" w:type="dxa"/>
            <w:noWrap w:val="0"/>
            <w:vAlign w:val="top"/>
          </w:tcPr>
          <w:p w14:paraId="20BF6613">
            <w:pPr>
              <w:keepNext w:val="0"/>
              <w:keepLines w:val="0"/>
              <w:pageBreakBefore w:val="0"/>
              <w:kinsoku/>
              <w:wordWrap/>
              <w:overflowPunct/>
              <w:topLinePunct w:val="0"/>
              <w:autoSpaceDE/>
              <w:autoSpaceDN/>
              <w:bidi w:val="0"/>
              <w:spacing w:line="560" w:lineRule="exact"/>
              <w:ind w:left="0" w:leftChars="0"/>
              <w:textAlignment w:val="auto"/>
              <w:rPr>
                <w:rFonts w:ascii="Times New Roman" w:hAnsi="Times New Roman" w:eastAsia="Times New Roman"/>
                <w:sz w:val="24"/>
              </w:rPr>
            </w:pPr>
          </w:p>
        </w:tc>
        <w:tc>
          <w:tcPr>
            <w:tcW w:w="1271" w:type="dxa"/>
            <w:noWrap w:val="0"/>
            <w:vAlign w:val="top"/>
          </w:tcPr>
          <w:p w14:paraId="523A048F">
            <w:pPr>
              <w:pStyle w:val="13"/>
              <w:keepNext w:val="0"/>
              <w:keepLines w:val="0"/>
              <w:pageBreakBefore w:val="0"/>
              <w:kinsoku/>
              <w:wordWrap/>
              <w:overflowPunct/>
              <w:topLinePunct w:val="0"/>
              <w:autoSpaceDE/>
              <w:autoSpaceDN/>
              <w:bidi w:val="0"/>
              <w:spacing w:line="560" w:lineRule="exact"/>
              <w:ind w:left="0" w:leftChars="0"/>
              <w:jc w:val="center"/>
              <w:textAlignment w:val="auto"/>
              <w:rPr>
                <w:sz w:val="24"/>
                <w:szCs w:val="24"/>
              </w:rPr>
            </w:pPr>
          </w:p>
        </w:tc>
        <w:tc>
          <w:tcPr>
            <w:tcW w:w="1875" w:type="dxa"/>
            <w:noWrap w:val="0"/>
            <w:vAlign w:val="top"/>
          </w:tcPr>
          <w:p w14:paraId="0C2B1916">
            <w:pPr>
              <w:keepNext w:val="0"/>
              <w:keepLines w:val="0"/>
              <w:pageBreakBefore w:val="0"/>
              <w:kinsoku/>
              <w:wordWrap/>
              <w:overflowPunct/>
              <w:topLinePunct w:val="0"/>
              <w:autoSpaceDE/>
              <w:autoSpaceDN/>
              <w:bidi w:val="0"/>
              <w:spacing w:line="560" w:lineRule="exact"/>
              <w:ind w:left="0" w:leftChars="0"/>
              <w:textAlignment w:val="auto"/>
              <w:rPr>
                <w:rFonts w:ascii="Times New Roman" w:hAnsi="Times New Roman" w:eastAsia="Times New Roman"/>
                <w:sz w:val="24"/>
              </w:rPr>
            </w:pPr>
          </w:p>
        </w:tc>
        <w:tc>
          <w:tcPr>
            <w:tcW w:w="2355" w:type="dxa"/>
            <w:noWrap w:val="0"/>
            <w:vAlign w:val="top"/>
          </w:tcPr>
          <w:p w14:paraId="743D1F33">
            <w:pPr>
              <w:keepNext w:val="0"/>
              <w:keepLines w:val="0"/>
              <w:pageBreakBefore w:val="0"/>
              <w:kinsoku/>
              <w:wordWrap/>
              <w:overflowPunct/>
              <w:topLinePunct w:val="0"/>
              <w:autoSpaceDE/>
              <w:autoSpaceDN/>
              <w:bidi w:val="0"/>
              <w:spacing w:line="560" w:lineRule="exact"/>
              <w:ind w:left="0" w:leftChars="0"/>
              <w:textAlignment w:val="auto"/>
              <w:rPr>
                <w:rFonts w:ascii="Times New Roman" w:hAnsi="Times New Roman" w:eastAsia="Times New Roman"/>
                <w:position w:val="1"/>
                <w:sz w:val="24"/>
              </w:rPr>
            </w:pPr>
          </w:p>
        </w:tc>
        <w:tc>
          <w:tcPr>
            <w:tcW w:w="2100" w:type="dxa"/>
            <w:noWrap w:val="0"/>
            <w:vAlign w:val="top"/>
          </w:tcPr>
          <w:p w14:paraId="4286C2C3">
            <w:pPr>
              <w:keepNext w:val="0"/>
              <w:keepLines w:val="0"/>
              <w:pageBreakBefore w:val="0"/>
              <w:kinsoku/>
              <w:wordWrap/>
              <w:overflowPunct/>
              <w:topLinePunct w:val="0"/>
              <w:autoSpaceDE/>
              <w:autoSpaceDN/>
              <w:bidi w:val="0"/>
              <w:spacing w:line="560" w:lineRule="exact"/>
              <w:ind w:left="0" w:leftChars="0"/>
              <w:textAlignment w:val="auto"/>
              <w:rPr>
                <w:rFonts w:ascii="Arial"/>
              </w:rPr>
            </w:pPr>
          </w:p>
        </w:tc>
        <w:tc>
          <w:tcPr>
            <w:tcW w:w="985" w:type="dxa"/>
            <w:noWrap w:val="0"/>
            <w:vAlign w:val="top"/>
          </w:tcPr>
          <w:p w14:paraId="2589919B">
            <w:pPr>
              <w:keepNext w:val="0"/>
              <w:keepLines w:val="0"/>
              <w:pageBreakBefore w:val="0"/>
              <w:kinsoku/>
              <w:wordWrap/>
              <w:overflowPunct/>
              <w:topLinePunct w:val="0"/>
              <w:autoSpaceDE/>
              <w:autoSpaceDN/>
              <w:bidi w:val="0"/>
              <w:spacing w:line="560" w:lineRule="exact"/>
              <w:ind w:left="0" w:leftChars="0"/>
              <w:textAlignment w:val="auto"/>
              <w:rPr>
                <w:rFonts w:ascii="Arial"/>
              </w:rPr>
            </w:pPr>
          </w:p>
        </w:tc>
      </w:tr>
      <w:tr w14:paraId="27A56D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690" w:type="dxa"/>
            <w:noWrap w:val="0"/>
            <w:vAlign w:val="top"/>
          </w:tcPr>
          <w:p w14:paraId="3C21F16C">
            <w:pPr>
              <w:keepNext w:val="0"/>
              <w:keepLines w:val="0"/>
              <w:pageBreakBefore w:val="0"/>
              <w:kinsoku/>
              <w:wordWrap/>
              <w:overflowPunct/>
              <w:topLinePunct w:val="0"/>
              <w:autoSpaceDE/>
              <w:autoSpaceDN/>
              <w:bidi w:val="0"/>
              <w:spacing w:line="560" w:lineRule="exact"/>
              <w:ind w:left="0" w:leftChars="0"/>
              <w:textAlignment w:val="auto"/>
              <w:rPr>
                <w:rFonts w:ascii="Times New Roman" w:hAnsi="Times New Roman" w:eastAsia="Times New Roman"/>
                <w:sz w:val="24"/>
              </w:rPr>
            </w:pPr>
          </w:p>
        </w:tc>
        <w:tc>
          <w:tcPr>
            <w:tcW w:w="1271" w:type="dxa"/>
            <w:noWrap w:val="0"/>
            <w:vAlign w:val="top"/>
          </w:tcPr>
          <w:p w14:paraId="11A58E57">
            <w:pPr>
              <w:pStyle w:val="13"/>
              <w:keepNext w:val="0"/>
              <w:keepLines w:val="0"/>
              <w:pageBreakBefore w:val="0"/>
              <w:kinsoku/>
              <w:wordWrap/>
              <w:overflowPunct/>
              <w:topLinePunct w:val="0"/>
              <w:autoSpaceDE/>
              <w:autoSpaceDN/>
              <w:bidi w:val="0"/>
              <w:spacing w:line="560" w:lineRule="exact"/>
              <w:ind w:left="0" w:leftChars="0"/>
              <w:jc w:val="center"/>
              <w:textAlignment w:val="auto"/>
              <w:rPr>
                <w:sz w:val="24"/>
                <w:szCs w:val="24"/>
              </w:rPr>
            </w:pPr>
          </w:p>
        </w:tc>
        <w:tc>
          <w:tcPr>
            <w:tcW w:w="1875" w:type="dxa"/>
            <w:noWrap w:val="0"/>
            <w:vAlign w:val="top"/>
          </w:tcPr>
          <w:p w14:paraId="1A69AE27">
            <w:pPr>
              <w:keepNext w:val="0"/>
              <w:keepLines w:val="0"/>
              <w:pageBreakBefore w:val="0"/>
              <w:kinsoku/>
              <w:wordWrap/>
              <w:overflowPunct/>
              <w:topLinePunct w:val="0"/>
              <w:autoSpaceDE/>
              <w:autoSpaceDN/>
              <w:bidi w:val="0"/>
              <w:spacing w:line="560" w:lineRule="exact"/>
              <w:ind w:left="0" w:leftChars="0"/>
              <w:textAlignment w:val="auto"/>
              <w:rPr>
                <w:rFonts w:ascii="Times New Roman" w:hAnsi="Times New Roman" w:eastAsia="Times New Roman"/>
                <w:sz w:val="24"/>
              </w:rPr>
            </w:pPr>
          </w:p>
        </w:tc>
        <w:tc>
          <w:tcPr>
            <w:tcW w:w="2355" w:type="dxa"/>
            <w:noWrap w:val="0"/>
            <w:vAlign w:val="top"/>
          </w:tcPr>
          <w:p w14:paraId="69B9F014">
            <w:pPr>
              <w:keepNext w:val="0"/>
              <w:keepLines w:val="0"/>
              <w:pageBreakBefore w:val="0"/>
              <w:kinsoku/>
              <w:wordWrap/>
              <w:overflowPunct/>
              <w:topLinePunct w:val="0"/>
              <w:autoSpaceDE/>
              <w:autoSpaceDN/>
              <w:bidi w:val="0"/>
              <w:spacing w:line="560" w:lineRule="exact"/>
              <w:ind w:left="0" w:leftChars="0"/>
              <w:textAlignment w:val="auto"/>
              <w:rPr>
                <w:rFonts w:ascii="Times New Roman" w:hAnsi="Times New Roman" w:eastAsia="Times New Roman"/>
                <w:position w:val="1"/>
                <w:sz w:val="24"/>
              </w:rPr>
            </w:pPr>
          </w:p>
        </w:tc>
        <w:tc>
          <w:tcPr>
            <w:tcW w:w="2100" w:type="dxa"/>
            <w:noWrap w:val="0"/>
            <w:vAlign w:val="top"/>
          </w:tcPr>
          <w:p w14:paraId="79EA4191">
            <w:pPr>
              <w:keepNext w:val="0"/>
              <w:keepLines w:val="0"/>
              <w:pageBreakBefore w:val="0"/>
              <w:kinsoku/>
              <w:wordWrap/>
              <w:overflowPunct/>
              <w:topLinePunct w:val="0"/>
              <w:autoSpaceDE/>
              <w:autoSpaceDN/>
              <w:bidi w:val="0"/>
              <w:spacing w:line="560" w:lineRule="exact"/>
              <w:ind w:left="0" w:leftChars="0"/>
              <w:textAlignment w:val="auto"/>
              <w:rPr>
                <w:rFonts w:ascii="Arial"/>
              </w:rPr>
            </w:pPr>
          </w:p>
        </w:tc>
        <w:tc>
          <w:tcPr>
            <w:tcW w:w="985" w:type="dxa"/>
            <w:noWrap w:val="0"/>
            <w:vAlign w:val="top"/>
          </w:tcPr>
          <w:p w14:paraId="0B745AB6">
            <w:pPr>
              <w:keepNext w:val="0"/>
              <w:keepLines w:val="0"/>
              <w:pageBreakBefore w:val="0"/>
              <w:kinsoku/>
              <w:wordWrap/>
              <w:overflowPunct/>
              <w:topLinePunct w:val="0"/>
              <w:autoSpaceDE/>
              <w:autoSpaceDN/>
              <w:bidi w:val="0"/>
              <w:spacing w:line="560" w:lineRule="exact"/>
              <w:ind w:left="0" w:leftChars="0"/>
              <w:textAlignment w:val="auto"/>
              <w:rPr>
                <w:rFonts w:ascii="Arial"/>
              </w:rPr>
            </w:pPr>
          </w:p>
        </w:tc>
      </w:tr>
      <w:tr w14:paraId="04906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690" w:type="dxa"/>
            <w:noWrap w:val="0"/>
            <w:vAlign w:val="top"/>
          </w:tcPr>
          <w:p w14:paraId="100BB2E7">
            <w:pPr>
              <w:keepNext w:val="0"/>
              <w:keepLines w:val="0"/>
              <w:pageBreakBefore w:val="0"/>
              <w:kinsoku/>
              <w:wordWrap/>
              <w:overflowPunct/>
              <w:topLinePunct w:val="0"/>
              <w:autoSpaceDE/>
              <w:autoSpaceDN/>
              <w:bidi w:val="0"/>
              <w:spacing w:line="560" w:lineRule="exact"/>
              <w:ind w:left="0" w:leftChars="0"/>
              <w:textAlignment w:val="auto"/>
              <w:rPr>
                <w:rFonts w:ascii="Times New Roman" w:hAnsi="Times New Roman" w:eastAsia="Times New Roman"/>
                <w:sz w:val="24"/>
              </w:rPr>
            </w:pPr>
          </w:p>
        </w:tc>
        <w:tc>
          <w:tcPr>
            <w:tcW w:w="1271" w:type="dxa"/>
            <w:noWrap w:val="0"/>
            <w:vAlign w:val="top"/>
          </w:tcPr>
          <w:p w14:paraId="49984C92">
            <w:pPr>
              <w:pStyle w:val="13"/>
              <w:keepNext w:val="0"/>
              <w:keepLines w:val="0"/>
              <w:pageBreakBefore w:val="0"/>
              <w:kinsoku/>
              <w:wordWrap/>
              <w:overflowPunct/>
              <w:topLinePunct w:val="0"/>
              <w:autoSpaceDE/>
              <w:autoSpaceDN/>
              <w:bidi w:val="0"/>
              <w:spacing w:line="560" w:lineRule="exact"/>
              <w:ind w:left="0" w:leftChars="0"/>
              <w:jc w:val="center"/>
              <w:textAlignment w:val="auto"/>
              <w:rPr>
                <w:sz w:val="24"/>
                <w:szCs w:val="24"/>
              </w:rPr>
            </w:pPr>
          </w:p>
        </w:tc>
        <w:tc>
          <w:tcPr>
            <w:tcW w:w="1875" w:type="dxa"/>
            <w:noWrap w:val="0"/>
            <w:vAlign w:val="top"/>
          </w:tcPr>
          <w:p w14:paraId="7AFF1F6F">
            <w:pPr>
              <w:keepNext w:val="0"/>
              <w:keepLines w:val="0"/>
              <w:pageBreakBefore w:val="0"/>
              <w:kinsoku/>
              <w:wordWrap/>
              <w:overflowPunct/>
              <w:topLinePunct w:val="0"/>
              <w:autoSpaceDE/>
              <w:autoSpaceDN/>
              <w:bidi w:val="0"/>
              <w:spacing w:line="560" w:lineRule="exact"/>
              <w:ind w:left="0" w:leftChars="0"/>
              <w:textAlignment w:val="auto"/>
              <w:rPr>
                <w:rFonts w:ascii="Times New Roman" w:hAnsi="Times New Roman" w:eastAsia="Times New Roman"/>
                <w:sz w:val="24"/>
              </w:rPr>
            </w:pPr>
          </w:p>
        </w:tc>
        <w:tc>
          <w:tcPr>
            <w:tcW w:w="2355" w:type="dxa"/>
            <w:noWrap w:val="0"/>
            <w:vAlign w:val="top"/>
          </w:tcPr>
          <w:p w14:paraId="5067565B">
            <w:pPr>
              <w:keepNext w:val="0"/>
              <w:keepLines w:val="0"/>
              <w:pageBreakBefore w:val="0"/>
              <w:kinsoku/>
              <w:wordWrap/>
              <w:overflowPunct/>
              <w:topLinePunct w:val="0"/>
              <w:autoSpaceDE/>
              <w:autoSpaceDN/>
              <w:bidi w:val="0"/>
              <w:spacing w:line="560" w:lineRule="exact"/>
              <w:ind w:left="0" w:leftChars="0"/>
              <w:textAlignment w:val="auto"/>
              <w:rPr>
                <w:rFonts w:ascii="Times New Roman" w:hAnsi="Times New Roman" w:eastAsia="Times New Roman"/>
                <w:position w:val="1"/>
                <w:sz w:val="24"/>
              </w:rPr>
            </w:pPr>
          </w:p>
        </w:tc>
        <w:tc>
          <w:tcPr>
            <w:tcW w:w="2100" w:type="dxa"/>
            <w:noWrap w:val="0"/>
            <w:vAlign w:val="top"/>
          </w:tcPr>
          <w:p w14:paraId="1538396F">
            <w:pPr>
              <w:keepNext w:val="0"/>
              <w:keepLines w:val="0"/>
              <w:pageBreakBefore w:val="0"/>
              <w:kinsoku/>
              <w:wordWrap/>
              <w:overflowPunct/>
              <w:topLinePunct w:val="0"/>
              <w:autoSpaceDE/>
              <w:autoSpaceDN/>
              <w:bidi w:val="0"/>
              <w:spacing w:line="560" w:lineRule="exact"/>
              <w:ind w:left="0" w:leftChars="0"/>
              <w:textAlignment w:val="auto"/>
              <w:rPr>
                <w:rFonts w:ascii="Arial"/>
              </w:rPr>
            </w:pPr>
          </w:p>
        </w:tc>
        <w:tc>
          <w:tcPr>
            <w:tcW w:w="985" w:type="dxa"/>
            <w:noWrap w:val="0"/>
            <w:vAlign w:val="top"/>
          </w:tcPr>
          <w:p w14:paraId="0B843803">
            <w:pPr>
              <w:keepNext w:val="0"/>
              <w:keepLines w:val="0"/>
              <w:pageBreakBefore w:val="0"/>
              <w:kinsoku/>
              <w:wordWrap/>
              <w:overflowPunct/>
              <w:topLinePunct w:val="0"/>
              <w:autoSpaceDE/>
              <w:autoSpaceDN/>
              <w:bidi w:val="0"/>
              <w:spacing w:line="560" w:lineRule="exact"/>
              <w:ind w:left="0" w:leftChars="0"/>
              <w:textAlignment w:val="auto"/>
              <w:rPr>
                <w:rFonts w:ascii="Arial"/>
              </w:rPr>
            </w:pPr>
          </w:p>
        </w:tc>
      </w:tr>
      <w:tr w14:paraId="54900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5" w:hRule="atLeast"/>
          <w:jc w:val="center"/>
        </w:trPr>
        <w:tc>
          <w:tcPr>
            <w:tcW w:w="690" w:type="dxa"/>
            <w:noWrap w:val="0"/>
            <w:vAlign w:val="top"/>
          </w:tcPr>
          <w:p w14:paraId="27E1013F">
            <w:pPr>
              <w:keepNext w:val="0"/>
              <w:keepLines w:val="0"/>
              <w:pageBreakBefore w:val="0"/>
              <w:kinsoku/>
              <w:wordWrap/>
              <w:overflowPunct/>
              <w:topLinePunct w:val="0"/>
              <w:autoSpaceDE/>
              <w:autoSpaceDN/>
              <w:bidi w:val="0"/>
              <w:spacing w:line="560" w:lineRule="exact"/>
              <w:ind w:left="0" w:leftChars="0"/>
              <w:textAlignment w:val="auto"/>
              <w:rPr>
                <w:rFonts w:ascii="Times New Roman" w:hAnsi="Times New Roman" w:eastAsia="Times New Roman"/>
                <w:sz w:val="24"/>
              </w:rPr>
            </w:pPr>
          </w:p>
        </w:tc>
        <w:tc>
          <w:tcPr>
            <w:tcW w:w="1271" w:type="dxa"/>
            <w:noWrap w:val="0"/>
            <w:vAlign w:val="top"/>
          </w:tcPr>
          <w:p w14:paraId="111618AB">
            <w:pPr>
              <w:pStyle w:val="13"/>
              <w:keepNext w:val="0"/>
              <w:keepLines w:val="0"/>
              <w:pageBreakBefore w:val="0"/>
              <w:kinsoku/>
              <w:wordWrap/>
              <w:overflowPunct/>
              <w:topLinePunct w:val="0"/>
              <w:autoSpaceDE/>
              <w:autoSpaceDN/>
              <w:bidi w:val="0"/>
              <w:spacing w:line="560" w:lineRule="exact"/>
              <w:ind w:left="0" w:leftChars="0"/>
              <w:jc w:val="center"/>
              <w:textAlignment w:val="auto"/>
              <w:rPr>
                <w:sz w:val="24"/>
                <w:szCs w:val="24"/>
              </w:rPr>
            </w:pPr>
          </w:p>
        </w:tc>
        <w:tc>
          <w:tcPr>
            <w:tcW w:w="1875" w:type="dxa"/>
            <w:noWrap w:val="0"/>
            <w:vAlign w:val="top"/>
          </w:tcPr>
          <w:p w14:paraId="588FBC57">
            <w:pPr>
              <w:keepNext w:val="0"/>
              <w:keepLines w:val="0"/>
              <w:pageBreakBefore w:val="0"/>
              <w:kinsoku/>
              <w:wordWrap/>
              <w:overflowPunct/>
              <w:topLinePunct w:val="0"/>
              <w:autoSpaceDE/>
              <w:autoSpaceDN/>
              <w:bidi w:val="0"/>
              <w:spacing w:line="560" w:lineRule="exact"/>
              <w:ind w:left="0" w:leftChars="0"/>
              <w:textAlignment w:val="auto"/>
              <w:rPr>
                <w:rFonts w:ascii="Times New Roman" w:hAnsi="Times New Roman" w:eastAsia="Times New Roman"/>
                <w:sz w:val="24"/>
              </w:rPr>
            </w:pPr>
          </w:p>
        </w:tc>
        <w:tc>
          <w:tcPr>
            <w:tcW w:w="2355" w:type="dxa"/>
            <w:noWrap w:val="0"/>
            <w:vAlign w:val="top"/>
          </w:tcPr>
          <w:p w14:paraId="616E0EFF">
            <w:pPr>
              <w:keepNext w:val="0"/>
              <w:keepLines w:val="0"/>
              <w:pageBreakBefore w:val="0"/>
              <w:kinsoku/>
              <w:wordWrap/>
              <w:overflowPunct/>
              <w:topLinePunct w:val="0"/>
              <w:autoSpaceDE/>
              <w:autoSpaceDN/>
              <w:bidi w:val="0"/>
              <w:spacing w:line="560" w:lineRule="exact"/>
              <w:ind w:left="0" w:leftChars="0"/>
              <w:textAlignment w:val="auto"/>
              <w:rPr>
                <w:rFonts w:ascii="Times New Roman" w:hAnsi="Times New Roman" w:eastAsia="Times New Roman"/>
                <w:position w:val="1"/>
                <w:sz w:val="24"/>
              </w:rPr>
            </w:pPr>
          </w:p>
        </w:tc>
        <w:tc>
          <w:tcPr>
            <w:tcW w:w="2100" w:type="dxa"/>
            <w:noWrap w:val="0"/>
            <w:vAlign w:val="top"/>
          </w:tcPr>
          <w:p w14:paraId="226AAC2B">
            <w:pPr>
              <w:keepNext w:val="0"/>
              <w:keepLines w:val="0"/>
              <w:pageBreakBefore w:val="0"/>
              <w:kinsoku/>
              <w:wordWrap/>
              <w:overflowPunct/>
              <w:topLinePunct w:val="0"/>
              <w:autoSpaceDE/>
              <w:autoSpaceDN/>
              <w:bidi w:val="0"/>
              <w:spacing w:line="560" w:lineRule="exact"/>
              <w:ind w:left="0" w:leftChars="0"/>
              <w:textAlignment w:val="auto"/>
              <w:rPr>
                <w:rFonts w:ascii="Arial"/>
              </w:rPr>
            </w:pPr>
          </w:p>
        </w:tc>
        <w:tc>
          <w:tcPr>
            <w:tcW w:w="985" w:type="dxa"/>
            <w:noWrap w:val="0"/>
            <w:vAlign w:val="top"/>
          </w:tcPr>
          <w:p w14:paraId="0B598643">
            <w:pPr>
              <w:keepNext w:val="0"/>
              <w:keepLines w:val="0"/>
              <w:pageBreakBefore w:val="0"/>
              <w:kinsoku/>
              <w:wordWrap/>
              <w:overflowPunct/>
              <w:topLinePunct w:val="0"/>
              <w:autoSpaceDE/>
              <w:autoSpaceDN/>
              <w:bidi w:val="0"/>
              <w:spacing w:line="560" w:lineRule="exact"/>
              <w:ind w:left="0" w:leftChars="0"/>
              <w:textAlignment w:val="auto"/>
              <w:rPr>
                <w:rFonts w:ascii="Arial"/>
              </w:rPr>
            </w:pPr>
          </w:p>
        </w:tc>
      </w:tr>
      <w:tr w14:paraId="55DA3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4" w:hRule="atLeast"/>
          <w:jc w:val="center"/>
        </w:trPr>
        <w:tc>
          <w:tcPr>
            <w:tcW w:w="690" w:type="dxa"/>
            <w:noWrap w:val="0"/>
            <w:vAlign w:val="top"/>
          </w:tcPr>
          <w:p w14:paraId="79155CD5">
            <w:pPr>
              <w:keepNext w:val="0"/>
              <w:keepLines w:val="0"/>
              <w:pageBreakBefore w:val="0"/>
              <w:kinsoku/>
              <w:wordWrap/>
              <w:overflowPunct/>
              <w:topLinePunct w:val="0"/>
              <w:autoSpaceDE/>
              <w:autoSpaceDN/>
              <w:bidi w:val="0"/>
              <w:spacing w:line="560" w:lineRule="exact"/>
              <w:ind w:left="0" w:leftChars="0"/>
              <w:textAlignment w:val="auto"/>
              <w:rPr>
                <w:rFonts w:ascii="Times New Roman" w:hAnsi="Times New Roman" w:eastAsia="Times New Roman"/>
                <w:sz w:val="24"/>
              </w:rPr>
            </w:pPr>
          </w:p>
        </w:tc>
        <w:tc>
          <w:tcPr>
            <w:tcW w:w="1271" w:type="dxa"/>
            <w:noWrap w:val="0"/>
            <w:vAlign w:val="top"/>
          </w:tcPr>
          <w:p w14:paraId="624CA8AE">
            <w:pPr>
              <w:pStyle w:val="13"/>
              <w:keepNext w:val="0"/>
              <w:keepLines w:val="0"/>
              <w:pageBreakBefore w:val="0"/>
              <w:kinsoku/>
              <w:wordWrap/>
              <w:overflowPunct/>
              <w:topLinePunct w:val="0"/>
              <w:autoSpaceDE/>
              <w:autoSpaceDN/>
              <w:bidi w:val="0"/>
              <w:spacing w:line="560" w:lineRule="exact"/>
              <w:ind w:left="0" w:leftChars="0"/>
              <w:jc w:val="center"/>
              <w:textAlignment w:val="auto"/>
              <w:rPr>
                <w:sz w:val="24"/>
                <w:szCs w:val="24"/>
              </w:rPr>
            </w:pPr>
          </w:p>
        </w:tc>
        <w:tc>
          <w:tcPr>
            <w:tcW w:w="1875" w:type="dxa"/>
            <w:noWrap w:val="0"/>
            <w:vAlign w:val="top"/>
          </w:tcPr>
          <w:p w14:paraId="5A69D7B2">
            <w:pPr>
              <w:keepNext w:val="0"/>
              <w:keepLines w:val="0"/>
              <w:pageBreakBefore w:val="0"/>
              <w:kinsoku/>
              <w:wordWrap/>
              <w:overflowPunct/>
              <w:topLinePunct w:val="0"/>
              <w:autoSpaceDE/>
              <w:autoSpaceDN/>
              <w:bidi w:val="0"/>
              <w:spacing w:line="560" w:lineRule="exact"/>
              <w:ind w:left="0" w:leftChars="0"/>
              <w:textAlignment w:val="auto"/>
              <w:rPr>
                <w:rFonts w:ascii="Times New Roman" w:hAnsi="Times New Roman" w:eastAsia="Times New Roman"/>
                <w:sz w:val="24"/>
              </w:rPr>
            </w:pPr>
          </w:p>
        </w:tc>
        <w:tc>
          <w:tcPr>
            <w:tcW w:w="2355" w:type="dxa"/>
            <w:noWrap w:val="0"/>
            <w:vAlign w:val="top"/>
          </w:tcPr>
          <w:p w14:paraId="70928548">
            <w:pPr>
              <w:keepNext w:val="0"/>
              <w:keepLines w:val="0"/>
              <w:pageBreakBefore w:val="0"/>
              <w:kinsoku/>
              <w:wordWrap/>
              <w:overflowPunct/>
              <w:topLinePunct w:val="0"/>
              <w:autoSpaceDE/>
              <w:autoSpaceDN/>
              <w:bidi w:val="0"/>
              <w:spacing w:line="560" w:lineRule="exact"/>
              <w:ind w:left="0" w:leftChars="0"/>
              <w:textAlignment w:val="auto"/>
              <w:rPr>
                <w:rFonts w:ascii="Times New Roman" w:hAnsi="Times New Roman" w:eastAsia="Times New Roman"/>
                <w:position w:val="1"/>
                <w:sz w:val="24"/>
              </w:rPr>
            </w:pPr>
          </w:p>
        </w:tc>
        <w:tc>
          <w:tcPr>
            <w:tcW w:w="2100" w:type="dxa"/>
            <w:noWrap w:val="0"/>
            <w:vAlign w:val="top"/>
          </w:tcPr>
          <w:p w14:paraId="6B794976">
            <w:pPr>
              <w:keepNext w:val="0"/>
              <w:keepLines w:val="0"/>
              <w:pageBreakBefore w:val="0"/>
              <w:kinsoku/>
              <w:wordWrap/>
              <w:overflowPunct/>
              <w:topLinePunct w:val="0"/>
              <w:autoSpaceDE/>
              <w:autoSpaceDN/>
              <w:bidi w:val="0"/>
              <w:spacing w:line="560" w:lineRule="exact"/>
              <w:ind w:left="0" w:leftChars="0"/>
              <w:textAlignment w:val="auto"/>
              <w:rPr>
                <w:rFonts w:ascii="Arial"/>
              </w:rPr>
            </w:pPr>
          </w:p>
        </w:tc>
        <w:tc>
          <w:tcPr>
            <w:tcW w:w="985" w:type="dxa"/>
            <w:noWrap w:val="0"/>
            <w:vAlign w:val="top"/>
          </w:tcPr>
          <w:p w14:paraId="6B8FA67A">
            <w:pPr>
              <w:keepNext w:val="0"/>
              <w:keepLines w:val="0"/>
              <w:pageBreakBefore w:val="0"/>
              <w:kinsoku/>
              <w:wordWrap/>
              <w:overflowPunct/>
              <w:topLinePunct w:val="0"/>
              <w:autoSpaceDE/>
              <w:autoSpaceDN/>
              <w:bidi w:val="0"/>
              <w:spacing w:line="560" w:lineRule="exact"/>
              <w:ind w:left="0" w:leftChars="0"/>
              <w:textAlignment w:val="auto"/>
              <w:rPr>
                <w:rFonts w:ascii="Arial"/>
              </w:rPr>
            </w:pPr>
          </w:p>
        </w:tc>
      </w:tr>
      <w:tr w14:paraId="335E8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690" w:type="dxa"/>
            <w:noWrap w:val="0"/>
            <w:vAlign w:val="top"/>
          </w:tcPr>
          <w:p w14:paraId="2D3EEA7E">
            <w:pPr>
              <w:keepNext w:val="0"/>
              <w:keepLines w:val="0"/>
              <w:pageBreakBefore w:val="0"/>
              <w:kinsoku/>
              <w:wordWrap/>
              <w:overflowPunct/>
              <w:topLinePunct w:val="0"/>
              <w:autoSpaceDE/>
              <w:autoSpaceDN/>
              <w:bidi w:val="0"/>
              <w:spacing w:line="560" w:lineRule="exact"/>
              <w:ind w:left="0" w:leftChars="0"/>
              <w:textAlignment w:val="auto"/>
              <w:rPr>
                <w:rFonts w:ascii="Times New Roman" w:hAnsi="Times New Roman" w:eastAsia="Times New Roman"/>
                <w:sz w:val="24"/>
              </w:rPr>
            </w:pPr>
          </w:p>
        </w:tc>
        <w:tc>
          <w:tcPr>
            <w:tcW w:w="1271" w:type="dxa"/>
            <w:noWrap w:val="0"/>
            <w:vAlign w:val="top"/>
          </w:tcPr>
          <w:p w14:paraId="6555BED2">
            <w:pPr>
              <w:pStyle w:val="13"/>
              <w:keepNext w:val="0"/>
              <w:keepLines w:val="0"/>
              <w:pageBreakBefore w:val="0"/>
              <w:kinsoku/>
              <w:wordWrap/>
              <w:overflowPunct/>
              <w:topLinePunct w:val="0"/>
              <w:autoSpaceDE/>
              <w:autoSpaceDN/>
              <w:bidi w:val="0"/>
              <w:spacing w:line="560" w:lineRule="exact"/>
              <w:ind w:left="0" w:leftChars="0"/>
              <w:jc w:val="center"/>
              <w:textAlignment w:val="auto"/>
              <w:rPr>
                <w:sz w:val="24"/>
                <w:szCs w:val="24"/>
              </w:rPr>
            </w:pPr>
          </w:p>
        </w:tc>
        <w:tc>
          <w:tcPr>
            <w:tcW w:w="1875" w:type="dxa"/>
            <w:noWrap w:val="0"/>
            <w:vAlign w:val="top"/>
          </w:tcPr>
          <w:p w14:paraId="41EB7382">
            <w:pPr>
              <w:keepNext w:val="0"/>
              <w:keepLines w:val="0"/>
              <w:pageBreakBefore w:val="0"/>
              <w:kinsoku/>
              <w:wordWrap/>
              <w:overflowPunct/>
              <w:topLinePunct w:val="0"/>
              <w:autoSpaceDE/>
              <w:autoSpaceDN/>
              <w:bidi w:val="0"/>
              <w:spacing w:line="560" w:lineRule="exact"/>
              <w:ind w:left="0" w:leftChars="0"/>
              <w:textAlignment w:val="auto"/>
              <w:rPr>
                <w:rFonts w:ascii="Times New Roman" w:hAnsi="Times New Roman" w:eastAsia="Times New Roman"/>
                <w:sz w:val="24"/>
              </w:rPr>
            </w:pPr>
          </w:p>
        </w:tc>
        <w:tc>
          <w:tcPr>
            <w:tcW w:w="2355" w:type="dxa"/>
            <w:noWrap w:val="0"/>
            <w:vAlign w:val="top"/>
          </w:tcPr>
          <w:p w14:paraId="03525BB4">
            <w:pPr>
              <w:keepNext w:val="0"/>
              <w:keepLines w:val="0"/>
              <w:pageBreakBefore w:val="0"/>
              <w:kinsoku/>
              <w:wordWrap/>
              <w:overflowPunct/>
              <w:topLinePunct w:val="0"/>
              <w:autoSpaceDE/>
              <w:autoSpaceDN/>
              <w:bidi w:val="0"/>
              <w:spacing w:line="560" w:lineRule="exact"/>
              <w:ind w:left="0" w:leftChars="0"/>
              <w:textAlignment w:val="auto"/>
              <w:rPr>
                <w:rFonts w:ascii="Times New Roman" w:hAnsi="Times New Roman" w:eastAsia="Times New Roman"/>
                <w:position w:val="1"/>
                <w:sz w:val="24"/>
              </w:rPr>
            </w:pPr>
          </w:p>
        </w:tc>
        <w:tc>
          <w:tcPr>
            <w:tcW w:w="2100" w:type="dxa"/>
            <w:noWrap w:val="0"/>
            <w:vAlign w:val="top"/>
          </w:tcPr>
          <w:p w14:paraId="74C7A1D6">
            <w:pPr>
              <w:keepNext w:val="0"/>
              <w:keepLines w:val="0"/>
              <w:pageBreakBefore w:val="0"/>
              <w:kinsoku/>
              <w:wordWrap/>
              <w:overflowPunct/>
              <w:topLinePunct w:val="0"/>
              <w:autoSpaceDE/>
              <w:autoSpaceDN/>
              <w:bidi w:val="0"/>
              <w:spacing w:line="560" w:lineRule="exact"/>
              <w:ind w:left="0" w:leftChars="0"/>
              <w:textAlignment w:val="auto"/>
              <w:rPr>
                <w:rFonts w:ascii="Arial"/>
              </w:rPr>
            </w:pPr>
          </w:p>
        </w:tc>
        <w:tc>
          <w:tcPr>
            <w:tcW w:w="985" w:type="dxa"/>
            <w:noWrap w:val="0"/>
            <w:vAlign w:val="top"/>
          </w:tcPr>
          <w:p w14:paraId="257DDB23">
            <w:pPr>
              <w:keepNext w:val="0"/>
              <w:keepLines w:val="0"/>
              <w:pageBreakBefore w:val="0"/>
              <w:kinsoku/>
              <w:wordWrap/>
              <w:overflowPunct/>
              <w:topLinePunct w:val="0"/>
              <w:autoSpaceDE/>
              <w:autoSpaceDN/>
              <w:bidi w:val="0"/>
              <w:spacing w:line="560" w:lineRule="exact"/>
              <w:ind w:left="0" w:leftChars="0"/>
              <w:textAlignment w:val="auto"/>
              <w:rPr>
                <w:rFonts w:ascii="Arial"/>
              </w:rPr>
            </w:pPr>
          </w:p>
        </w:tc>
      </w:tr>
    </w:tbl>
    <w:p w14:paraId="1DED547A">
      <w:pPr>
        <w:keepNext w:val="0"/>
        <w:keepLines w:val="0"/>
        <w:pageBreakBefore w:val="0"/>
        <w:kinsoku/>
        <w:wordWrap/>
        <w:overflowPunct/>
        <w:topLinePunct w:val="0"/>
        <w:autoSpaceDE/>
        <w:autoSpaceDN/>
        <w:bidi w:val="0"/>
        <w:spacing w:line="560" w:lineRule="exact"/>
        <w:ind w:left="0" w:leftChars="0"/>
        <w:textAlignment w:val="auto"/>
        <w:rPr>
          <w:rFonts w:ascii="Arial" w:hAnsi="Arial" w:eastAsia="Arial" w:cs="Arial"/>
          <w:szCs w:val="21"/>
        </w:rPr>
        <w:sectPr>
          <w:footerReference r:id="rId3" w:type="default"/>
          <w:pgSz w:w="11906" w:h="16839"/>
          <w:pgMar w:top="2098" w:right="1474" w:bottom="1984" w:left="1587" w:header="1417" w:footer="1179" w:gutter="0"/>
          <w:pgNumType w:fmt="decimal"/>
          <w:cols w:space="0" w:num="1"/>
          <w:rtlGutter w:val="0"/>
          <w:docGrid w:linePitch="0" w:charSpace="0"/>
        </w:sectPr>
      </w:pPr>
      <w:bookmarkStart w:id="0" w:name="_GoBack"/>
      <w:bookmarkEnd w:id="0"/>
    </w:p>
    <w:p w14:paraId="68C66A40">
      <w:pPr>
        <w:pStyle w:val="8"/>
        <w:spacing w:line="560" w:lineRule="exact"/>
        <w:ind w:firstLine="0" w:firstLineChars="0"/>
        <w:jc w:val="both"/>
        <w:rPr>
          <w:rFonts w:hint="eastAsia" w:ascii="黑体" w:hAnsi="黑体" w:eastAsia="黑体" w:cs="黑体"/>
          <w:b w:val="0"/>
          <w:bCs w:val="0"/>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rPr>
        <w:t>附件</w:t>
      </w:r>
      <w:r>
        <w:rPr>
          <w:rFonts w:hint="eastAsia" w:ascii="黑体" w:hAnsi="黑体" w:eastAsia="黑体" w:cs="黑体"/>
          <w:b w:val="0"/>
          <w:bCs w:val="0"/>
          <w:color w:val="333333"/>
          <w:sz w:val="32"/>
          <w:szCs w:val="32"/>
          <w:shd w:val="clear" w:color="auto" w:fill="FFFFFF"/>
          <w:lang w:val="en-US" w:eastAsia="zh-CN"/>
        </w:rPr>
        <w:t>2</w:t>
      </w:r>
    </w:p>
    <w:p w14:paraId="106F151F">
      <w:pPr>
        <w:pStyle w:val="8"/>
        <w:spacing w:line="560" w:lineRule="exact"/>
        <w:ind w:firstLine="0" w:firstLineChars="0"/>
        <w:jc w:val="center"/>
        <w:rPr>
          <w:rFonts w:ascii="Times New Roman" w:hAnsi="Times New Roman" w:eastAsia="方正小标宋简体" w:cs="Times New Roman"/>
          <w:b w:val="0"/>
          <w:bCs w:val="0"/>
          <w:color w:val="333333"/>
          <w:sz w:val="44"/>
          <w:szCs w:val="44"/>
          <w:shd w:val="clear" w:color="auto" w:fill="FFFFFF"/>
        </w:rPr>
      </w:pPr>
      <w:r>
        <w:rPr>
          <w:rFonts w:hint="eastAsia" w:ascii="Times New Roman" w:hAnsi="Times New Roman" w:eastAsia="方正小标宋简体" w:cs="Times New Roman"/>
          <w:b w:val="0"/>
          <w:bCs w:val="0"/>
          <w:color w:val="333333"/>
          <w:sz w:val="44"/>
          <w:szCs w:val="44"/>
          <w:shd w:val="clear" w:color="auto" w:fill="FFFFFF"/>
        </w:rPr>
        <w:t>鱼峰</w:t>
      </w:r>
      <w:r>
        <w:rPr>
          <w:rFonts w:ascii="Times New Roman" w:hAnsi="Times New Roman" w:eastAsia="方正小标宋简体" w:cs="Times New Roman"/>
          <w:b w:val="0"/>
          <w:bCs w:val="0"/>
          <w:color w:val="333333"/>
          <w:sz w:val="44"/>
          <w:szCs w:val="44"/>
          <w:shd w:val="clear" w:color="auto" w:fill="FFFFFF"/>
        </w:rPr>
        <w:t>区202</w:t>
      </w:r>
      <w:r>
        <w:rPr>
          <w:rFonts w:hint="eastAsia" w:ascii="Times New Roman" w:hAnsi="Times New Roman" w:eastAsia="方正小标宋简体" w:cs="Times New Roman"/>
          <w:b w:val="0"/>
          <w:bCs w:val="0"/>
          <w:color w:val="333333"/>
          <w:sz w:val="44"/>
          <w:szCs w:val="44"/>
          <w:shd w:val="clear" w:color="auto" w:fill="FFFFFF"/>
        </w:rPr>
        <w:t>6</w:t>
      </w:r>
      <w:r>
        <w:rPr>
          <w:rFonts w:ascii="Times New Roman" w:hAnsi="Times New Roman" w:eastAsia="方正小标宋简体" w:cs="Times New Roman"/>
          <w:b w:val="0"/>
          <w:bCs w:val="0"/>
          <w:color w:val="333333"/>
          <w:sz w:val="44"/>
          <w:szCs w:val="44"/>
          <w:shd w:val="clear" w:color="auto" w:fill="FFFFFF"/>
        </w:rPr>
        <w:t>年度</w:t>
      </w:r>
      <w:r>
        <w:rPr>
          <w:rFonts w:ascii="Times New Roman" w:hAnsi="Times New Roman" w:eastAsia="方正小标宋简体" w:cs="Times New Roman"/>
          <w:b w:val="0"/>
          <w:bCs w:val="0"/>
          <w:kern w:val="0"/>
          <w:sz w:val="44"/>
          <w:szCs w:val="44"/>
        </w:rPr>
        <w:t>秸秆综合利用项目</w:t>
      </w:r>
      <w:r>
        <w:rPr>
          <w:rFonts w:ascii="Times New Roman" w:hAnsi="Times New Roman" w:eastAsia="方正小标宋简体" w:cs="Times New Roman"/>
          <w:b w:val="0"/>
          <w:bCs w:val="0"/>
          <w:sz w:val="44"/>
          <w:szCs w:val="44"/>
          <w:shd w:val="clear" w:color="auto" w:fill="FFFFFF"/>
        </w:rPr>
        <w:t>资金使用分配计划表</w:t>
      </w:r>
    </w:p>
    <w:tbl>
      <w:tblPr>
        <w:tblStyle w:val="9"/>
        <w:tblpPr w:leftFromText="180" w:rightFromText="180" w:vertAnchor="text" w:horzAnchor="page" w:tblpXSpec="center" w:tblpY="543"/>
        <w:tblOverlap w:val="never"/>
        <w:tblW w:w="13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2944"/>
        <w:gridCol w:w="2651"/>
        <w:gridCol w:w="6320"/>
      </w:tblGrid>
      <w:tr w14:paraId="6CD16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283" w:type="dxa"/>
            <w:noWrap w:val="0"/>
            <w:vAlign w:val="center"/>
          </w:tcPr>
          <w:p w14:paraId="1E32EBAF">
            <w:pPr>
              <w:pStyle w:val="4"/>
              <w:spacing w:line="560" w:lineRule="exact"/>
              <w:rPr>
                <w:rFonts w:ascii="Times New Roman" w:hAnsi="Times New Roman" w:eastAsia="仿宋_GB2312"/>
                <w:b w:val="0"/>
                <w:bCs w:val="0"/>
                <w:sz w:val="32"/>
                <w:szCs w:val="32"/>
              </w:rPr>
            </w:pPr>
            <w:r>
              <w:rPr>
                <w:rFonts w:hint="eastAsia" w:ascii="Times New Roman" w:hAnsi="Times New Roman" w:eastAsia="仿宋_GB2312"/>
                <w:b w:val="0"/>
                <w:bCs w:val="0"/>
                <w:sz w:val="32"/>
                <w:szCs w:val="32"/>
              </w:rPr>
              <w:t>序号</w:t>
            </w:r>
          </w:p>
        </w:tc>
        <w:tc>
          <w:tcPr>
            <w:tcW w:w="2944" w:type="dxa"/>
            <w:noWrap w:val="0"/>
            <w:vAlign w:val="center"/>
          </w:tcPr>
          <w:p w14:paraId="5C382553">
            <w:pPr>
              <w:pStyle w:val="4"/>
              <w:spacing w:line="560" w:lineRule="exact"/>
              <w:rPr>
                <w:rFonts w:hint="eastAsia" w:ascii="Times New Roman" w:hAnsi="Times New Roman" w:eastAsia="仿宋_GB2312"/>
                <w:b w:val="0"/>
                <w:bCs w:val="0"/>
                <w:sz w:val="32"/>
                <w:szCs w:val="32"/>
              </w:rPr>
            </w:pPr>
            <w:r>
              <w:rPr>
                <w:rFonts w:hint="eastAsia" w:ascii="Times New Roman" w:hAnsi="Times New Roman" w:eastAsia="仿宋_GB2312"/>
                <w:b w:val="0"/>
                <w:bCs w:val="0"/>
                <w:sz w:val="32"/>
                <w:szCs w:val="32"/>
              </w:rPr>
              <w:t>支出方向</w:t>
            </w:r>
          </w:p>
        </w:tc>
        <w:tc>
          <w:tcPr>
            <w:tcW w:w="2651" w:type="dxa"/>
            <w:noWrap w:val="0"/>
            <w:vAlign w:val="center"/>
          </w:tcPr>
          <w:p w14:paraId="765DA59D">
            <w:pPr>
              <w:pStyle w:val="4"/>
              <w:spacing w:line="560" w:lineRule="exact"/>
              <w:rPr>
                <w:rFonts w:hint="eastAsia" w:ascii="Times New Roman" w:hAnsi="Times New Roman" w:eastAsia="仿宋_GB2312"/>
                <w:b w:val="0"/>
                <w:bCs w:val="0"/>
                <w:sz w:val="32"/>
                <w:szCs w:val="32"/>
              </w:rPr>
            </w:pPr>
            <w:r>
              <w:rPr>
                <w:rFonts w:hint="eastAsia" w:ascii="Times New Roman" w:hAnsi="Times New Roman" w:eastAsia="仿宋_GB2312"/>
                <w:b w:val="0"/>
                <w:bCs w:val="0"/>
                <w:sz w:val="32"/>
                <w:szCs w:val="32"/>
              </w:rPr>
              <w:t>预算金额（万</w:t>
            </w:r>
            <w:r>
              <w:rPr>
                <w:rFonts w:hint="eastAsia" w:eastAsia="仿宋_GB2312"/>
                <w:b w:val="0"/>
                <w:bCs w:val="0"/>
                <w:sz w:val="32"/>
                <w:szCs w:val="32"/>
                <w:lang w:val="en-US" w:eastAsia="zh-CN"/>
              </w:rPr>
              <w:t>元</w:t>
            </w:r>
            <w:r>
              <w:rPr>
                <w:rFonts w:hint="eastAsia" w:ascii="Times New Roman" w:hAnsi="Times New Roman" w:eastAsia="仿宋_GB2312"/>
                <w:b w:val="0"/>
                <w:bCs w:val="0"/>
                <w:sz w:val="32"/>
                <w:szCs w:val="32"/>
              </w:rPr>
              <w:t>）</w:t>
            </w:r>
          </w:p>
        </w:tc>
        <w:tc>
          <w:tcPr>
            <w:tcW w:w="6320" w:type="dxa"/>
            <w:noWrap w:val="0"/>
            <w:vAlign w:val="center"/>
          </w:tcPr>
          <w:p w14:paraId="6FA9AB39">
            <w:pPr>
              <w:pStyle w:val="4"/>
              <w:spacing w:line="560" w:lineRule="exact"/>
              <w:rPr>
                <w:rFonts w:hint="eastAsia" w:ascii="Times New Roman" w:hAnsi="Times New Roman" w:eastAsia="仿宋_GB2312"/>
                <w:b w:val="0"/>
                <w:bCs w:val="0"/>
                <w:sz w:val="32"/>
                <w:szCs w:val="32"/>
              </w:rPr>
            </w:pPr>
            <w:r>
              <w:rPr>
                <w:rFonts w:hint="eastAsia" w:ascii="Times New Roman" w:hAnsi="Times New Roman" w:eastAsia="仿宋_GB2312"/>
                <w:b w:val="0"/>
                <w:bCs w:val="0"/>
                <w:sz w:val="32"/>
                <w:szCs w:val="32"/>
              </w:rPr>
              <w:t>主要用途与测算说明</w:t>
            </w:r>
          </w:p>
        </w:tc>
      </w:tr>
      <w:tr w14:paraId="7C16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283" w:type="dxa"/>
            <w:noWrap w:val="0"/>
            <w:vAlign w:val="center"/>
          </w:tcPr>
          <w:p w14:paraId="049960EA">
            <w:pPr>
              <w:pStyle w:val="4"/>
              <w:spacing w:line="560" w:lineRule="exact"/>
              <w:ind w:firstLine="320" w:firstLineChars="100"/>
              <w:jc w:val="left"/>
              <w:rPr>
                <w:rFonts w:ascii="Times New Roman" w:hAnsi="Times New Roman" w:eastAsia="仿宋_GB2312"/>
                <w:b w:val="0"/>
                <w:bCs w:val="0"/>
                <w:sz w:val="32"/>
                <w:szCs w:val="32"/>
              </w:rPr>
            </w:pPr>
            <w:r>
              <w:rPr>
                <w:rFonts w:hint="eastAsia" w:ascii="Times New Roman" w:hAnsi="Times New Roman" w:eastAsia="仿宋_GB2312"/>
                <w:b w:val="0"/>
                <w:bCs w:val="0"/>
                <w:sz w:val="32"/>
                <w:szCs w:val="32"/>
              </w:rPr>
              <w:t>1</w:t>
            </w:r>
          </w:p>
        </w:tc>
        <w:tc>
          <w:tcPr>
            <w:tcW w:w="2944" w:type="dxa"/>
            <w:noWrap w:val="0"/>
            <w:vAlign w:val="center"/>
          </w:tcPr>
          <w:p w14:paraId="4E0C92C5">
            <w:pPr>
              <w:pStyle w:val="4"/>
              <w:spacing w:line="560" w:lineRule="exact"/>
              <w:jc w:val="left"/>
              <w:rPr>
                <w:rFonts w:hint="eastAsia" w:ascii="Times New Roman" w:hAnsi="Times New Roman" w:eastAsia="仿宋_GB2312"/>
                <w:b w:val="0"/>
                <w:bCs w:val="0"/>
                <w:sz w:val="32"/>
                <w:szCs w:val="32"/>
              </w:rPr>
            </w:pPr>
            <w:r>
              <w:rPr>
                <w:rFonts w:hint="eastAsia" w:ascii="仿宋_GB2312" w:hAnsi="仿宋_GB2312" w:eastAsia="仿宋_GB2312" w:cs="仿宋_GB2312"/>
                <w:b w:val="0"/>
                <w:bCs w:val="0"/>
                <w:sz w:val="32"/>
                <w:szCs w:val="32"/>
              </w:rPr>
              <w:t>秸秆收储补助</w:t>
            </w:r>
          </w:p>
        </w:tc>
        <w:tc>
          <w:tcPr>
            <w:tcW w:w="2651" w:type="dxa"/>
            <w:noWrap w:val="0"/>
            <w:vAlign w:val="center"/>
          </w:tcPr>
          <w:p w14:paraId="24123D87">
            <w:pPr>
              <w:pStyle w:val="4"/>
              <w:spacing w:line="560" w:lineRule="exact"/>
              <w:jc w:val="center"/>
              <w:rPr>
                <w:rFonts w:hint="default" w:ascii="Times New Roman" w:hAnsi="Times New Roman" w:eastAsia="仿宋_GB2312"/>
                <w:b w:val="0"/>
                <w:bCs w:val="0"/>
                <w:sz w:val="32"/>
                <w:szCs w:val="32"/>
                <w:lang w:val="en-US" w:eastAsia="zh-CN"/>
              </w:rPr>
            </w:pPr>
            <w:r>
              <w:rPr>
                <w:rFonts w:hint="eastAsia" w:ascii="Times New Roman" w:hAnsi="Times New Roman" w:eastAsia="仿宋_GB2312"/>
                <w:b w:val="0"/>
                <w:bCs w:val="0"/>
                <w:sz w:val="32"/>
                <w:szCs w:val="32"/>
                <w:lang w:val="en-US" w:eastAsia="zh-CN"/>
              </w:rPr>
              <w:t>60.4</w:t>
            </w:r>
          </w:p>
        </w:tc>
        <w:tc>
          <w:tcPr>
            <w:tcW w:w="6320" w:type="dxa"/>
            <w:noWrap w:val="0"/>
            <w:vAlign w:val="center"/>
          </w:tcPr>
          <w:p w14:paraId="76060A2E">
            <w:pPr>
              <w:pStyle w:val="4"/>
              <w:spacing w:line="560" w:lineRule="exact"/>
              <w:jc w:val="left"/>
              <w:rPr>
                <w:rFonts w:ascii="Times New Roman" w:hAnsi="Times New Roman" w:eastAsia="仿宋_GB2312"/>
                <w:b w:val="0"/>
                <w:bCs w:val="0"/>
                <w:sz w:val="32"/>
                <w:szCs w:val="32"/>
              </w:rPr>
            </w:pPr>
            <w:r>
              <w:rPr>
                <w:rFonts w:hint="eastAsia" w:ascii="Times New Roman" w:hAnsi="Times New Roman" w:eastAsia="仿宋_GB2312"/>
                <w:b w:val="0"/>
                <w:bCs w:val="0"/>
                <w:sz w:val="32"/>
                <w:szCs w:val="32"/>
              </w:rPr>
              <w:t>按</w:t>
            </w:r>
            <w:r>
              <w:rPr>
                <w:rFonts w:hint="eastAsia" w:ascii="Times New Roman" w:hAnsi="Times New Roman" w:eastAsia="仿宋_GB2312"/>
                <w:b w:val="0"/>
                <w:bCs w:val="0"/>
                <w:sz w:val="32"/>
                <w:szCs w:val="32"/>
                <w:lang w:val="en-US" w:eastAsia="zh-CN"/>
              </w:rPr>
              <w:t>100</w:t>
            </w:r>
            <w:r>
              <w:rPr>
                <w:rFonts w:hint="eastAsia" w:ascii="Times New Roman" w:hAnsi="Times New Roman" w:eastAsia="仿宋_GB2312"/>
                <w:b w:val="0"/>
                <w:bCs w:val="0"/>
                <w:sz w:val="32"/>
                <w:szCs w:val="32"/>
              </w:rPr>
              <w:t>元/吨标准，对收储主体按实际收储量进行补贴，计划支持量0.</w:t>
            </w:r>
            <w:r>
              <w:rPr>
                <w:rFonts w:hint="eastAsia" w:ascii="Times New Roman" w:hAnsi="Times New Roman" w:eastAsia="仿宋_GB2312"/>
                <w:b w:val="0"/>
                <w:bCs w:val="0"/>
                <w:sz w:val="32"/>
                <w:szCs w:val="32"/>
                <w:lang w:val="en-US" w:eastAsia="zh-CN"/>
              </w:rPr>
              <w:t>6</w:t>
            </w:r>
            <w:r>
              <w:rPr>
                <w:rFonts w:hint="eastAsia" w:eastAsia="仿宋_GB2312"/>
                <w:b w:val="0"/>
                <w:bCs w:val="0"/>
                <w:sz w:val="32"/>
                <w:szCs w:val="32"/>
                <w:lang w:val="en-US" w:eastAsia="zh-CN"/>
              </w:rPr>
              <w:t>0</w:t>
            </w:r>
            <w:r>
              <w:rPr>
                <w:rFonts w:hint="eastAsia" w:ascii="Times New Roman" w:hAnsi="Times New Roman" w:eastAsia="仿宋_GB2312"/>
                <w:b w:val="0"/>
                <w:bCs w:val="0"/>
                <w:sz w:val="32"/>
                <w:szCs w:val="32"/>
                <w:lang w:val="en-US" w:eastAsia="zh-CN"/>
              </w:rPr>
              <w:t>4</w:t>
            </w:r>
            <w:r>
              <w:rPr>
                <w:rFonts w:hint="eastAsia" w:ascii="Times New Roman" w:hAnsi="Times New Roman" w:eastAsia="仿宋_GB2312"/>
                <w:b w:val="0"/>
                <w:bCs w:val="0"/>
                <w:sz w:val="32"/>
                <w:szCs w:val="32"/>
              </w:rPr>
              <w:t>万吨。</w:t>
            </w:r>
          </w:p>
        </w:tc>
      </w:tr>
      <w:tr w14:paraId="3835A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3" w:type="dxa"/>
            <w:noWrap w:val="0"/>
            <w:vAlign w:val="center"/>
          </w:tcPr>
          <w:p w14:paraId="43B3A78A">
            <w:pPr>
              <w:pStyle w:val="4"/>
              <w:spacing w:line="560" w:lineRule="exact"/>
              <w:ind w:firstLine="320" w:firstLineChars="100"/>
              <w:jc w:val="left"/>
              <w:rPr>
                <w:rFonts w:hint="eastAsia" w:ascii="Times New Roman" w:hAnsi="Times New Roman" w:eastAsia="仿宋_GB2312"/>
                <w:b w:val="0"/>
                <w:bCs w:val="0"/>
                <w:sz w:val="32"/>
                <w:szCs w:val="32"/>
                <w:lang w:eastAsia="zh-CN"/>
              </w:rPr>
            </w:pPr>
            <w:r>
              <w:rPr>
                <w:rFonts w:hint="eastAsia" w:ascii="Times New Roman" w:hAnsi="Times New Roman" w:eastAsia="仿宋_GB2312"/>
                <w:b w:val="0"/>
                <w:bCs w:val="0"/>
                <w:sz w:val="32"/>
                <w:szCs w:val="32"/>
                <w:lang w:val="en-US" w:eastAsia="zh-CN"/>
              </w:rPr>
              <w:t>2</w:t>
            </w:r>
          </w:p>
        </w:tc>
        <w:tc>
          <w:tcPr>
            <w:tcW w:w="2944" w:type="dxa"/>
            <w:noWrap w:val="0"/>
            <w:vAlign w:val="center"/>
          </w:tcPr>
          <w:p w14:paraId="3A6DDD54">
            <w:pPr>
              <w:pStyle w:val="4"/>
              <w:spacing w:line="560" w:lineRule="exact"/>
              <w:jc w:val="both"/>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秸秆多元化利用补助</w:t>
            </w:r>
          </w:p>
        </w:tc>
        <w:tc>
          <w:tcPr>
            <w:tcW w:w="2651" w:type="dxa"/>
            <w:noWrap w:val="0"/>
            <w:vAlign w:val="center"/>
          </w:tcPr>
          <w:p w14:paraId="008948F4">
            <w:pPr>
              <w:pStyle w:val="4"/>
              <w:spacing w:line="560" w:lineRule="exact"/>
              <w:jc w:val="center"/>
              <w:rPr>
                <w:rFonts w:hint="default" w:ascii="Times New Roman" w:hAnsi="Times New Roman" w:eastAsia="仿宋_GB2312"/>
                <w:b w:val="0"/>
                <w:bCs w:val="0"/>
                <w:sz w:val="32"/>
                <w:szCs w:val="32"/>
                <w:lang w:val="en-US" w:eastAsia="zh-CN"/>
              </w:rPr>
            </w:pPr>
            <w:r>
              <w:rPr>
                <w:rFonts w:hint="eastAsia" w:ascii="Times New Roman" w:hAnsi="Times New Roman" w:eastAsia="仿宋_GB2312"/>
                <w:b w:val="0"/>
                <w:bCs w:val="0"/>
                <w:sz w:val="32"/>
                <w:szCs w:val="32"/>
                <w:lang w:val="en-US" w:eastAsia="zh-CN"/>
              </w:rPr>
              <w:t>18</w:t>
            </w:r>
          </w:p>
        </w:tc>
        <w:tc>
          <w:tcPr>
            <w:tcW w:w="6320" w:type="dxa"/>
            <w:noWrap w:val="0"/>
            <w:vAlign w:val="center"/>
          </w:tcPr>
          <w:p w14:paraId="6E8AF7FF">
            <w:pPr>
              <w:pStyle w:val="4"/>
              <w:spacing w:line="560" w:lineRule="exact"/>
              <w:jc w:val="left"/>
              <w:rPr>
                <w:rFonts w:hint="eastAsia" w:ascii="Times New Roman" w:hAnsi="Times New Roman" w:eastAsia="仿宋_GB2312"/>
                <w:b w:val="0"/>
                <w:bCs w:val="0"/>
                <w:sz w:val="32"/>
                <w:szCs w:val="32"/>
              </w:rPr>
            </w:pPr>
            <w:r>
              <w:rPr>
                <w:rFonts w:hint="eastAsia" w:ascii="Times New Roman" w:hAnsi="Times New Roman" w:eastAsia="仿宋_GB2312"/>
                <w:b w:val="0"/>
                <w:bCs w:val="0"/>
                <w:sz w:val="32"/>
                <w:szCs w:val="32"/>
              </w:rPr>
              <w:t>按</w:t>
            </w:r>
            <w:r>
              <w:rPr>
                <w:rFonts w:hint="eastAsia" w:ascii="Times New Roman" w:hAnsi="Times New Roman" w:eastAsia="仿宋_GB2312"/>
                <w:b w:val="0"/>
                <w:bCs w:val="0"/>
                <w:sz w:val="32"/>
                <w:szCs w:val="32"/>
                <w:lang w:val="en-US" w:eastAsia="zh-CN"/>
              </w:rPr>
              <w:t>50</w:t>
            </w:r>
            <w:r>
              <w:rPr>
                <w:rFonts w:hint="eastAsia" w:ascii="Times New Roman" w:hAnsi="Times New Roman" w:eastAsia="仿宋_GB2312"/>
                <w:b w:val="0"/>
                <w:bCs w:val="0"/>
                <w:sz w:val="32"/>
                <w:szCs w:val="32"/>
              </w:rPr>
              <w:t>元/吨标准，对利用主体按实际多元化利用量进行补贴，计划支持量0.</w:t>
            </w:r>
            <w:r>
              <w:rPr>
                <w:rFonts w:hint="eastAsia" w:ascii="Times New Roman" w:hAnsi="Times New Roman" w:eastAsia="仿宋_GB2312"/>
                <w:b w:val="0"/>
                <w:bCs w:val="0"/>
                <w:sz w:val="32"/>
                <w:szCs w:val="32"/>
                <w:lang w:val="en-US" w:eastAsia="zh-CN"/>
              </w:rPr>
              <w:t>36万</w:t>
            </w:r>
            <w:r>
              <w:rPr>
                <w:rFonts w:hint="eastAsia" w:ascii="Times New Roman" w:hAnsi="Times New Roman" w:eastAsia="仿宋_GB2312"/>
                <w:b w:val="0"/>
                <w:bCs w:val="0"/>
                <w:sz w:val="32"/>
                <w:szCs w:val="32"/>
              </w:rPr>
              <w:t>吨</w:t>
            </w:r>
          </w:p>
        </w:tc>
      </w:tr>
      <w:tr w14:paraId="08413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1283" w:type="dxa"/>
            <w:noWrap w:val="0"/>
            <w:vAlign w:val="center"/>
          </w:tcPr>
          <w:p w14:paraId="336666FA">
            <w:pPr>
              <w:pStyle w:val="4"/>
              <w:spacing w:line="560" w:lineRule="exact"/>
              <w:ind w:firstLine="320" w:firstLineChars="100"/>
              <w:jc w:val="left"/>
              <w:rPr>
                <w:rFonts w:hint="eastAsia" w:ascii="Times New Roman" w:hAnsi="Times New Roman" w:eastAsia="仿宋_GB2312"/>
                <w:b w:val="0"/>
                <w:bCs w:val="0"/>
                <w:sz w:val="32"/>
                <w:szCs w:val="32"/>
                <w:lang w:eastAsia="zh-CN"/>
              </w:rPr>
            </w:pPr>
            <w:r>
              <w:rPr>
                <w:rFonts w:hint="eastAsia" w:ascii="Times New Roman" w:hAnsi="Times New Roman" w:eastAsia="仿宋_GB2312"/>
                <w:b w:val="0"/>
                <w:bCs w:val="0"/>
                <w:sz w:val="32"/>
                <w:szCs w:val="32"/>
                <w:lang w:val="en-US" w:eastAsia="zh-CN"/>
              </w:rPr>
              <w:t>3</w:t>
            </w:r>
          </w:p>
        </w:tc>
        <w:tc>
          <w:tcPr>
            <w:tcW w:w="2944" w:type="dxa"/>
            <w:noWrap w:val="0"/>
            <w:vAlign w:val="center"/>
          </w:tcPr>
          <w:p w14:paraId="1D49C119">
            <w:pPr>
              <w:pStyle w:val="4"/>
              <w:spacing w:line="560" w:lineRule="exact"/>
              <w:jc w:val="left"/>
              <w:rPr>
                <w:rFonts w:ascii="Times New Roman" w:hAnsi="Times New Roman" w:eastAsia="仿宋_GB2312"/>
                <w:b w:val="0"/>
                <w:bCs w:val="0"/>
                <w:sz w:val="32"/>
                <w:szCs w:val="32"/>
              </w:rPr>
            </w:pPr>
            <w:r>
              <w:rPr>
                <w:rFonts w:hint="eastAsia" w:ascii="Times New Roman" w:hAnsi="Times New Roman" w:eastAsia="仿宋_GB2312"/>
                <w:b w:val="0"/>
                <w:bCs w:val="0"/>
                <w:sz w:val="32"/>
                <w:szCs w:val="32"/>
              </w:rPr>
              <w:t>快速腐熟还田技术</w:t>
            </w:r>
            <w:r>
              <w:rPr>
                <w:rFonts w:hint="eastAsia" w:ascii="Times New Roman" w:hAnsi="Times New Roman" w:eastAsia="仿宋_GB2312"/>
                <w:b w:val="0"/>
                <w:bCs w:val="0"/>
                <w:sz w:val="32"/>
                <w:szCs w:val="32"/>
                <w:lang w:val="en-US" w:eastAsia="zh-CN"/>
              </w:rPr>
              <w:t>展示</w:t>
            </w:r>
            <w:r>
              <w:rPr>
                <w:rFonts w:hint="eastAsia" w:ascii="Times New Roman" w:hAnsi="Times New Roman" w:eastAsia="仿宋_GB2312"/>
                <w:b w:val="0"/>
                <w:bCs w:val="0"/>
                <w:sz w:val="32"/>
                <w:szCs w:val="32"/>
              </w:rPr>
              <w:t>区建设</w:t>
            </w:r>
          </w:p>
        </w:tc>
        <w:tc>
          <w:tcPr>
            <w:tcW w:w="2651" w:type="dxa"/>
            <w:noWrap w:val="0"/>
            <w:vAlign w:val="center"/>
          </w:tcPr>
          <w:p w14:paraId="07267EBA">
            <w:pPr>
              <w:pStyle w:val="4"/>
              <w:spacing w:line="560" w:lineRule="exact"/>
              <w:jc w:val="center"/>
              <w:rPr>
                <w:rFonts w:ascii="Times New Roman" w:hAnsi="Times New Roman" w:eastAsia="仿宋_GB2312"/>
                <w:b w:val="0"/>
                <w:bCs w:val="0"/>
                <w:sz w:val="32"/>
                <w:szCs w:val="32"/>
              </w:rPr>
            </w:pPr>
            <w:r>
              <w:rPr>
                <w:rFonts w:hint="eastAsia" w:ascii="Times New Roman" w:hAnsi="Times New Roman" w:eastAsia="仿宋_GB2312"/>
                <w:b w:val="0"/>
                <w:bCs w:val="0"/>
                <w:sz w:val="32"/>
                <w:szCs w:val="32"/>
              </w:rPr>
              <w:t>3.6</w:t>
            </w:r>
          </w:p>
        </w:tc>
        <w:tc>
          <w:tcPr>
            <w:tcW w:w="6320" w:type="dxa"/>
            <w:noWrap w:val="0"/>
            <w:vAlign w:val="center"/>
          </w:tcPr>
          <w:p w14:paraId="3722FC12">
            <w:pPr>
              <w:pStyle w:val="4"/>
              <w:spacing w:line="560" w:lineRule="exact"/>
              <w:jc w:val="left"/>
              <w:rPr>
                <w:rFonts w:hint="default" w:ascii="Times New Roman" w:hAnsi="Times New Roman" w:eastAsia="仿宋_GB2312"/>
                <w:b w:val="0"/>
                <w:bCs w:val="0"/>
                <w:sz w:val="32"/>
                <w:szCs w:val="32"/>
              </w:rPr>
            </w:pPr>
            <w:r>
              <w:rPr>
                <w:rFonts w:hint="eastAsia" w:ascii="Times New Roman" w:hAnsi="Times New Roman" w:eastAsia="仿宋_GB2312"/>
                <w:b w:val="0"/>
                <w:bCs w:val="0"/>
                <w:sz w:val="32"/>
                <w:szCs w:val="32"/>
              </w:rPr>
              <w:t>用于600亩</w:t>
            </w:r>
            <w:r>
              <w:rPr>
                <w:rFonts w:hint="eastAsia" w:ascii="Times New Roman" w:hAnsi="Times New Roman" w:eastAsia="仿宋_GB2312"/>
                <w:b w:val="0"/>
                <w:bCs w:val="0"/>
                <w:sz w:val="32"/>
                <w:szCs w:val="32"/>
                <w:lang w:val="en-US" w:eastAsia="zh-CN"/>
              </w:rPr>
              <w:t>展示</w:t>
            </w:r>
            <w:r>
              <w:rPr>
                <w:rFonts w:hint="eastAsia" w:ascii="Times New Roman" w:hAnsi="Times New Roman" w:eastAsia="仿宋_GB2312"/>
                <w:b w:val="0"/>
                <w:bCs w:val="0"/>
                <w:sz w:val="32"/>
                <w:szCs w:val="32"/>
              </w:rPr>
              <w:t>区的腐熟剂采购、作业费、田间管理费等相关费用支出。</w:t>
            </w:r>
          </w:p>
        </w:tc>
      </w:tr>
      <w:tr w14:paraId="2537D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283" w:type="dxa"/>
            <w:noWrap w:val="0"/>
            <w:vAlign w:val="center"/>
          </w:tcPr>
          <w:p w14:paraId="57ED89CE">
            <w:pPr>
              <w:pStyle w:val="4"/>
              <w:spacing w:line="560" w:lineRule="exact"/>
              <w:jc w:val="center"/>
              <w:rPr>
                <w:rFonts w:ascii="Times New Roman" w:hAnsi="Times New Roman" w:eastAsia="仿宋_GB2312"/>
                <w:b w:val="0"/>
                <w:bCs w:val="0"/>
                <w:sz w:val="32"/>
                <w:szCs w:val="32"/>
              </w:rPr>
            </w:pPr>
            <w:r>
              <w:rPr>
                <w:rFonts w:hint="eastAsia" w:ascii="Times New Roman" w:hAnsi="Times New Roman" w:eastAsia="仿宋_GB2312"/>
                <w:b w:val="0"/>
                <w:bCs w:val="0"/>
                <w:sz w:val="32"/>
                <w:szCs w:val="32"/>
              </w:rPr>
              <w:t>合计</w:t>
            </w:r>
          </w:p>
        </w:tc>
        <w:tc>
          <w:tcPr>
            <w:tcW w:w="2944" w:type="dxa"/>
            <w:noWrap w:val="0"/>
            <w:vAlign w:val="center"/>
          </w:tcPr>
          <w:p w14:paraId="4D8F0745">
            <w:pPr>
              <w:pStyle w:val="4"/>
              <w:spacing w:line="560" w:lineRule="exact"/>
              <w:rPr>
                <w:rFonts w:ascii="Times New Roman" w:hAnsi="Times New Roman" w:eastAsia="仿宋_GB2312"/>
                <w:b w:val="0"/>
                <w:bCs w:val="0"/>
                <w:sz w:val="32"/>
                <w:szCs w:val="32"/>
              </w:rPr>
            </w:pPr>
          </w:p>
        </w:tc>
        <w:tc>
          <w:tcPr>
            <w:tcW w:w="2651" w:type="dxa"/>
            <w:noWrap w:val="0"/>
            <w:vAlign w:val="center"/>
          </w:tcPr>
          <w:p w14:paraId="0EDA308F">
            <w:pPr>
              <w:pStyle w:val="4"/>
              <w:spacing w:line="560" w:lineRule="exact"/>
              <w:jc w:val="center"/>
              <w:rPr>
                <w:rFonts w:ascii="Times New Roman" w:hAnsi="Times New Roman" w:eastAsia="仿宋_GB2312"/>
                <w:b w:val="0"/>
                <w:bCs w:val="0"/>
                <w:sz w:val="32"/>
                <w:szCs w:val="32"/>
              </w:rPr>
            </w:pPr>
            <w:r>
              <w:rPr>
                <w:rFonts w:hint="eastAsia" w:ascii="Times New Roman" w:hAnsi="Times New Roman" w:eastAsia="仿宋_GB2312"/>
                <w:b w:val="0"/>
                <w:bCs w:val="0"/>
                <w:sz w:val="32"/>
                <w:szCs w:val="32"/>
              </w:rPr>
              <w:t>82</w:t>
            </w:r>
          </w:p>
        </w:tc>
        <w:tc>
          <w:tcPr>
            <w:tcW w:w="6320" w:type="dxa"/>
            <w:noWrap w:val="0"/>
            <w:vAlign w:val="center"/>
          </w:tcPr>
          <w:p w14:paraId="11D79F94">
            <w:pPr>
              <w:pStyle w:val="4"/>
              <w:spacing w:line="560" w:lineRule="exact"/>
              <w:jc w:val="left"/>
              <w:rPr>
                <w:rFonts w:ascii="Times New Roman" w:hAnsi="Times New Roman" w:eastAsia="仿宋_GB2312"/>
                <w:b w:val="0"/>
                <w:bCs w:val="0"/>
                <w:sz w:val="32"/>
                <w:szCs w:val="32"/>
              </w:rPr>
            </w:pPr>
          </w:p>
        </w:tc>
      </w:tr>
    </w:tbl>
    <w:p w14:paraId="7989739A">
      <w:pPr>
        <w:tabs>
          <w:tab w:val="left" w:pos="8964"/>
        </w:tabs>
        <w:jc w:val="left"/>
        <w:rPr>
          <w:rFonts w:hint="eastAsia"/>
        </w:rPr>
      </w:pPr>
    </w:p>
    <w:p w14:paraId="14236639"/>
    <w:sectPr>
      <w:headerReference r:id="rId4" w:type="default"/>
      <w:footerReference r:id="rId5" w:type="default"/>
      <w:pgSz w:w="16838" w:h="11906" w:orient="landscape"/>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Garamond">
    <w:panose1 w:val="02020404030301010803"/>
    <w:charset w:val="00"/>
    <w:family w:val="roman"/>
    <w:pitch w:val="default"/>
    <w:sig w:usb0="00000287" w:usb1="00000000" w:usb2="00000000" w:usb3="00000000" w:csb0="0000009F" w:csb1="DFD7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0E681">
    <w:pPr>
      <w:spacing w:line="234" w:lineRule="auto"/>
      <w:rPr>
        <w:rFonts w:ascii="宋体" w:hAnsi="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1E3216D">
                          <w:pPr>
                            <w:pStyle w:val="5"/>
                            <w:rPr>
                              <w:rFonts w:hint="eastAsia" w:ascii="仿宋_GB2312" w:hAnsi="仿宋_GB2312" w:eastAsia="仿宋_GB2312" w:cs="仿宋_GB2312"/>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14:paraId="61E3216D">
                    <w:pPr>
                      <w:pStyle w:val="5"/>
                      <w:rPr>
                        <w:rFonts w:hint="eastAsia" w:ascii="仿宋_GB2312" w:hAnsi="仿宋_GB2312" w:eastAsia="仿宋_GB2312" w:cs="仿宋_GB2312"/>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7F043">
    <w:pPr>
      <w:pStyle w:val="5"/>
      <w:tabs>
        <w:tab w:val="right" w:pos="8845"/>
      </w:tabs>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334122A">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14:paraId="6334122A">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0A7A08">
                          <w:pPr>
                            <w:pStyle w:val="5"/>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20A7A08">
                    <w:pPr>
                      <w:pStyle w:val="5"/>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5B7D9">
    <w:pPr>
      <w:spacing w:before="36" w:line="418" w:lineRule="exact"/>
      <w:ind w:left="9"/>
      <w:rPr>
        <w:rFonts w:hint="eastAsia"/>
        <w:sz w:val="31"/>
        <w:szCs w:val="3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7F1946"/>
    <w:rsid w:val="00D40D69"/>
    <w:rsid w:val="0ACB7893"/>
    <w:rsid w:val="0B634B20"/>
    <w:rsid w:val="0CBB77C2"/>
    <w:rsid w:val="133E2592"/>
    <w:rsid w:val="15FD000F"/>
    <w:rsid w:val="17717B51"/>
    <w:rsid w:val="188B0EDC"/>
    <w:rsid w:val="1CD8174B"/>
    <w:rsid w:val="20A56F1F"/>
    <w:rsid w:val="2277711E"/>
    <w:rsid w:val="246555E1"/>
    <w:rsid w:val="254A5A35"/>
    <w:rsid w:val="25CB3C39"/>
    <w:rsid w:val="2746625E"/>
    <w:rsid w:val="29031A7F"/>
    <w:rsid w:val="2F562A39"/>
    <w:rsid w:val="306117FB"/>
    <w:rsid w:val="371074C7"/>
    <w:rsid w:val="396726DB"/>
    <w:rsid w:val="39CC7DC6"/>
    <w:rsid w:val="3B1918B3"/>
    <w:rsid w:val="43A2296F"/>
    <w:rsid w:val="43D95B54"/>
    <w:rsid w:val="476428A4"/>
    <w:rsid w:val="48F16D8A"/>
    <w:rsid w:val="48FE3445"/>
    <w:rsid w:val="497F1946"/>
    <w:rsid w:val="49DD5393"/>
    <w:rsid w:val="4AF1182D"/>
    <w:rsid w:val="4BD17005"/>
    <w:rsid w:val="4CC261BC"/>
    <w:rsid w:val="4D4F4E46"/>
    <w:rsid w:val="51360767"/>
    <w:rsid w:val="515A1234"/>
    <w:rsid w:val="54101DFD"/>
    <w:rsid w:val="54103820"/>
    <w:rsid w:val="592836CB"/>
    <w:rsid w:val="5DCF0B26"/>
    <w:rsid w:val="68DF6732"/>
    <w:rsid w:val="69880A7E"/>
    <w:rsid w:val="720F52C4"/>
    <w:rsid w:val="76172A46"/>
    <w:rsid w:val="7C514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2"/>
    <w:unhideWhenUsed/>
    <w:qFormat/>
    <w:uiPriority w:val="99"/>
    <w:pPr>
      <w:widowControl w:val="0"/>
      <w:spacing w:line="440" w:lineRule="exact"/>
      <w:ind w:firstLine="482"/>
      <w:jc w:val="both"/>
    </w:pPr>
    <w:rPr>
      <w:rFonts w:ascii="楷体" w:hAnsi="Garamond" w:eastAsia="宋体" w:cs="Times New Roman"/>
      <w:kern w:val="2"/>
      <w:sz w:val="24"/>
      <w:szCs w:val="20"/>
      <w:lang w:val="en-US" w:eastAsia="zh-CN" w:bidi="ar-SA"/>
    </w:rPr>
  </w:style>
  <w:style w:type="paragraph" w:styleId="3">
    <w:name w:val="annotation text"/>
    <w:basedOn w:val="1"/>
    <w:qFormat/>
    <w:uiPriority w:val="0"/>
    <w:pPr>
      <w:jc w:val="left"/>
    </w:pPr>
  </w:style>
  <w:style w:type="paragraph" w:styleId="4">
    <w:name w:val="Body Text"/>
    <w:basedOn w:val="1"/>
    <w:qFormat/>
    <w:uiPriority w:val="0"/>
    <w:pPr>
      <w:jc w:val="center"/>
    </w:pPr>
    <w:rPr>
      <w:b/>
      <w:bCs/>
      <w:sz w:val="4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Body Text First Indent"/>
    <w:basedOn w:val="4"/>
    <w:qFormat/>
    <w:uiPriority w:val="0"/>
    <w:pPr>
      <w:spacing w:line="360" w:lineRule="auto"/>
      <w:ind w:firstLine="720" w:firstLineChars="200"/>
      <w:jc w:val="left"/>
    </w:pPr>
    <w:rPr>
      <w:rFonts w:ascii="宋体" w:hAnsi="宋体" w:cs="宋体"/>
      <w:sz w:val="28"/>
      <w:szCs w:val="22"/>
    </w:rPr>
  </w:style>
  <w:style w:type="character" w:styleId="11">
    <w:name w:val="Hyperlink"/>
    <w:basedOn w:val="10"/>
    <w:qFormat/>
    <w:uiPriority w:val="0"/>
    <w:rPr>
      <w:color w:val="0000FF"/>
      <w:u w:val="single"/>
    </w:rPr>
  </w:style>
  <w:style w:type="character" w:styleId="12">
    <w:name w:val="annotation reference"/>
    <w:qFormat/>
    <w:uiPriority w:val="0"/>
    <w:rPr>
      <w:sz w:val="21"/>
      <w:szCs w:val="21"/>
    </w:rPr>
  </w:style>
  <w:style w:type="paragraph" w:customStyle="1" w:styleId="13">
    <w:name w:val="Table Text"/>
    <w:basedOn w:val="1"/>
    <w:semiHidden/>
    <w:qFormat/>
    <w:uiPriority w:val="0"/>
    <w:rPr>
      <w:rFonts w:ascii="仿宋_GB2312" w:hAnsi="仿宋_GB2312" w:eastAsia="仿宋_GB2312" w:cs="仿宋_GB2312"/>
      <w:sz w:val="31"/>
      <w:szCs w:val="31"/>
      <w:lang w:val="en-US" w:eastAsia="en-US" w:bidi="ar-SA"/>
    </w:rPr>
  </w:style>
  <w:style w:type="paragraph" w:styleId="14">
    <w:name w:val="No Spacing"/>
    <w:qFormat/>
    <w:uiPriority w:val="0"/>
    <w:pPr>
      <w:adjustRightInd w:val="0"/>
      <w:snapToGrid w:val="0"/>
    </w:pPr>
    <w:rPr>
      <w:rFonts w:ascii="Tahoma" w:hAnsi="Tahoma" w:eastAsia="微软雅黑" w:cs="Times New Roman"/>
      <w:sz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3977</Words>
  <Characters>4135</Characters>
  <Lines>0</Lines>
  <Paragraphs>0</Paragraphs>
  <TotalTime>16</TotalTime>
  <ScaleCrop>false</ScaleCrop>
  <LinksUpToDate>false</LinksUpToDate>
  <CharactersWithSpaces>4338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2026-06-30T08:18:00Z</dcterms:created>
  <dc:creator>欣怡1417505146</dc:creator>
  <cp:lastModifiedBy>欣怡1417505146</cp:lastModifiedBy>
  <dcterms:modified xsi:type="dcterms:W3CDTF">2026-07-15T01:17:06Z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BC0566C6A0C74AFFA080485E730AD80E_13</vt:lpwstr>
  </property>
  <property fmtid="{D5CDD505-2E9C-101B-9397-08002B2CF9AE}" pid="4" name="KSOTemplateDocerSaveRecord">
    <vt:lpwstr>eyJoZGlkIjoiZmM1ZDZjY2M4Njc5NDQ3ODI0MGY5NmYyMGFmM2MwMWEiLCJ1c2VySWQiOiIyNjE3NjYxMyJ9</vt:lpwstr>
  </property>
</Properties>
</file>