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简体" w:hAnsi="方正小标宋简体" w:eastAsia="方正小标宋简体" w:cs="方正小标宋简体"/>
          <w:snapToGrid w:val="0"/>
          <w:color w:val="auto"/>
          <w:sz w:val="44"/>
          <w:szCs w:val="44"/>
        </w:rPr>
      </w:pPr>
      <w:r>
        <w:rPr>
          <w:rFonts w:hint="eastAsia" w:ascii="方正小标宋简体" w:hAnsi="方正小标宋简体" w:eastAsia="方正小标宋简体" w:cs="方正小标宋简体"/>
          <w:snapToGrid w:val="0"/>
          <w:color w:val="auto"/>
          <w:sz w:val="44"/>
          <w:szCs w:val="44"/>
          <w:lang w:val="en-US" w:eastAsia="zh-CN"/>
        </w:rPr>
        <w:t>鱼峰区商务局</w:t>
      </w:r>
      <w:r>
        <w:rPr>
          <w:rFonts w:hint="eastAsia" w:ascii="方正小标宋简体" w:hAnsi="方正小标宋简体" w:eastAsia="方正小标宋简体" w:cs="方正小标宋简体"/>
          <w:snapToGrid w:val="0"/>
          <w:color w:val="auto"/>
          <w:sz w:val="44"/>
          <w:szCs w:val="44"/>
        </w:rPr>
        <w:t>权责清单</w:t>
      </w:r>
    </w:p>
    <w:p>
      <w:pPr>
        <w:adjustRightInd w:val="0"/>
        <w:snapToGrid w:val="0"/>
        <w:spacing w:line="570" w:lineRule="exact"/>
        <w:jc w:val="center"/>
        <w:rPr>
          <w:rFonts w:eastAsia="仿宋_GB2312"/>
          <w:snapToGrid w:val="0"/>
          <w:color w:val="auto"/>
          <w:sz w:val="32"/>
          <w:szCs w:val="32"/>
        </w:rPr>
      </w:pPr>
    </w:p>
    <w:tbl>
      <w:tblPr>
        <w:tblStyle w:val="4"/>
        <w:tblW w:w="21510" w:type="dxa"/>
        <w:tblInd w:w="-508" w:type="dxa"/>
        <w:tblLayout w:type="fixed"/>
        <w:tblCellMar>
          <w:top w:w="0" w:type="dxa"/>
          <w:left w:w="108" w:type="dxa"/>
          <w:bottom w:w="0" w:type="dxa"/>
          <w:right w:w="108" w:type="dxa"/>
        </w:tblCellMar>
      </w:tblPr>
      <w:tblGrid>
        <w:gridCol w:w="475"/>
        <w:gridCol w:w="534"/>
        <w:gridCol w:w="954"/>
        <w:gridCol w:w="1005"/>
        <w:gridCol w:w="1145"/>
        <w:gridCol w:w="5039"/>
        <w:gridCol w:w="3775"/>
        <w:gridCol w:w="7578"/>
        <w:gridCol w:w="1005"/>
      </w:tblGrid>
      <w:tr>
        <w:tblPrEx>
          <w:tblCellMar>
            <w:top w:w="0" w:type="dxa"/>
            <w:left w:w="108" w:type="dxa"/>
            <w:bottom w:w="0" w:type="dxa"/>
            <w:right w:w="108" w:type="dxa"/>
          </w:tblCellMar>
        </w:tblPrEx>
        <w:trPr>
          <w:cantSplit/>
          <w:trHeight w:val="369" w:hRule="atLeast"/>
          <w:tblHeader/>
        </w:trPr>
        <w:tc>
          <w:tcPr>
            <w:tcW w:w="475"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534"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权力</w:t>
            </w:r>
          </w:p>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分类</w:t>
            </w:r>
          </w:p>
        </w:tc>
        <w:tc>
          <w:tcPr>
            <w:tcW w:w="8143" w:type="dxa"/>
            <w:gridSpan w:val="4"/>
            <w:tcBorders>
              <w:top w:val="single" w:color="auto" w:sz="4" w:space="0"/>
              <w:left w:val="nil"/>
              <w:bottom w:val="single" w:color="auto" w:sz="4" w:space="0"/>
              <w:right w:val="single" w:color="auto" w:sz="4" w:space="0"/>
            </w:tcBorders>
            <w:noWrap/>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权力清单</w:t>
            </w:r>
          </w:p>
        </w:tc>
        <w:tc>
          <w:tcPr>
            <w:tcW w:w="11353" w:type="dxa"/>
            <w:gridSpan w:val="2"/>
            <w:tcBorders>
              <w:top w:val="single" w:color="auto" w:sz="4" w:space="0"/>
              <w:left w:val="nil"/>
              <w:bottom w:val="single" w:color="auto" w:sz="4" w:space="0"/>
              <w:right w:val="single" w:color="auto" w:sz="4" w:space="0"/>
            </w:tcBorders>
            <w:noWrap/>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责任清单</w:t>
            </w:r>
          </w:p>
        </w:tc>
        <w:tc>
          <w:tcPr>
            <w:tcW w:w="1005"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cantSplit/>
          <w:trHeight w:val="369" w:hRule="atLeast"/>
          <w:tblHeader/>
        </w:trPr>
        <w:tc>
          <w:tcPr>
            <w:tcW w:w="475" w:type="dxa"/>
            <w:vMerge w:val="continue"/>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p>
        </w:tc>
        <w:tc>
          <w:tcPr>
            <w:tcW w:w="534" w:type="dxa"/>
            <w:vMerge w:val="continue"/>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项目名称</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子项名称</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实施层级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设定依据</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责任事项</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责任事项依据</w:t>
            </w:r>
          </w:p>
        </w:tc>
        <w:tc>
          <w:tcPr>
            <w:tcW w:w="1005" w:type="dxa"/>
            <w:vMerge w:val="continue"/>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1</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对发卡企业开展单用途商业预付卡未按规定备案行为的处罚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【部门规章】《单用途商业预付卡管理办法（试行）》（2012年商务部令第9号公布，2016年商务部令第2号修正）第七条：发卡企业应在开展单用途卡业务之日起3</w:t>
            </w:r>
            <w:r>
              <w:rPr>
                <w:rFonts w:hint="eastAsia" w:eastAsia="仿宋_GB2312"/>
                <w:color w:val="auto"/>
                <w:kern w:val="0"/>
                <w:sz w:val="20"/>
                <w:szCs w:val="20"/>
                <w:lang w:val="en-US" w:eastAsia="zh-CN"/>
              </w:rPr>
              <w:t>0</w:t>
            </w:r>
            <w:r>
              <w:rPr>
                <w:rFonts w:hint="eastAsia" w:eastAsia="仿宋_GB2312"/>
                <w:color w:val="auto"/>
                <w:kern w:val="0"/>
                <w:sz w:val="20"/>
                <w:szCs w:val="20"/>
              </w:rPr>
              <w:t>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第三十六条：发卡企业违反本办法第七条规定的，由违法行为发生地县级以上地方人民政府商务主管部门责令限期改正；逾期仍不改正的，处以1万元以上3万元以下罚款。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2</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对发卡企业或售卡企业违反单用途商业预付卡发行与服务相关规定行为的处罚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部门规章】《单用途商业预付卡管理办法（试行）》（2012年商务部令第9号公布，2016年商务部令第2号修正）第十四条：发卡企业或售卡企业应公示或向购卡人提供单用途卡章程，并应购卡人要求签订购卡协议。发卡企业或售卡企业应履行提示告知义务，确保购卡人知晓并认可单用途卡章程或协议内容。单用途卡章程和购卡协议应包括以下内容：（一）单用途卡的名称、种类和功能；（二）单用途卡购买、充值、使用、退卡方式，记名卡还应包括挂失、转让方式；（三）收费项目和标准； （四）当事人的权利、义务；（五）纠纷处理原则和违约责任；（六）相关法律法规规章和规范性文件规定的其他事项。 第十五条：个人或单位购买（含充值，下同）记名卡的，或一次性购买1万元（含）以上不记名卡的，发卡企业或售卡企业应要求购卡人及其代理人出示有效身份证件，并留存购卡人及其代理人姓名或单位名称、有效身份证件号码和联系方式。个人有效身份证件包括居民身份证、户口簿、军人身份证件、武警身份证件、港澳台居民通行证、护照等。单位有效身份证件包括营业执照、事业单位法人证书、税务登记证、组织机构代码证等。</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第十六条：发卡企业和售卡企业应保存购卡人的登记信息5年以上。发卡企业和售卡企业应对购卡人及其代理人的身份信息和交易信息保密，除法律另有规定外，不得向第三方提供。</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十七条：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发卡企业和售卡企业应严格按照国家有关规定开具发票。</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第十八条：单张记名卡限额不得超过5000元，单张不记名卡限额不得超过1000元。单张单用途卡充值后资金余额不得超过前款规定的限额。 第十九条：记名卡不得设有效期；不记名卡有效期不得少于3年。发卡企业或售卡企业对超过有效期尚有资金余额的不记名卡应提供激活、换卡等配套服务。</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二十条：使用单用途卡购买商品后需要退货的，发卡企业或受理企业应将资金退至原卡。原单用途卡不存在或退货后卡内资金余额超过单用途卡限额的，应退回至持卡人在同一发卡企业的同类单用途卡内。退货金额不足100元（含）的，可支付现金。</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二十一条：发卡企业或售卡企业应依单用途卡章程或协议约定，提供退卡服务。办理退卡时，发卡企业或售卡企业应要求退卡人出示有效身份证件，并留存退卡人姓名、有效身份证件号码、退卡卡号、金额等信息。发卡企业或售卡企业应将资金退至与退卡人同名的银行账户内，并留存银行账户信息。卡内资金余额不足100元（含）的，可支付现金。</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第二十二条：发卡企业终止兑付未到期单用途卡的，发卡企业和售卡企业应向持卡人提供免费退卡服务，并在终止兑付日前至少30日在备案机关指定的媒体上进行公示。</w:t>
            </w:r>
          </w:p>
          <w:p>
            <w:pPr>
              <w:adjustRightInd w:val="0"/>
              <w:snapToGrid w:val="0"/>
              <w:spacing w:line="226" w:lineRule="exact"/>
              <w:ind w:firstLine="400" w:firstLineChars="200"/>
              <w:rPr>
                <w:rFonts w:eastAsia="仿宋_GB2312"/>
                <w:color w:val="auto"/>
                <w:kern w:val="0"/>
                <w:sz w:val="20"/>
                <w:szCs w:val="20"/>
              </w:rPr>
            </w:pPr>
            <w:r>
              <w:rPr>
                <w:rFonts w:hint="eastAsia" w:eastAsia="仿宋_GB2312"/>
                <w:color w:val="auto"/>
                <w:kern w:val="0"/>
                <w:sz w:val="20"/>
                <w:szCs w:val="20"/>
              </w:rPr>
              <w:t>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3</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对零售商存在违法促销行为的处罚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零售商促销行为管理办法》(2006年商务部、国家发展和改革委员会、公安部、国家税务总局、国家工商行政管理总局第18号令)第二十一条：各地商务、价格、税务、工商等部门依照法律法规及有关规定，在各自职责范围内对促销行为进行监督管理。对涉嫌犯罪的，由公安机关依法予以查处。</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第二十二条：对违反本办法规定的行为任何单位和个人均可向上述单位举报，相关单位接到举报后，应当依法予以查处。</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三条：零售商或者供应商违反本办法规定的，法律法规有规定的，从其规定；没有规定的，责令改正；有违法所得的，可处违法所得三倍以下罚款，但最高不超过三万元；没有违法所得的，可处一万元以下罚款；并可向社会</w:t>
            </w:r>
            <w:r>
              <w:rPr>
                <w:rFonts w:hint="eastAsia" w:eastAsia="仿宋_GB2312"/>
                <w:color w:val="auto"/>
                <w:kern w:val="0"/>
                <w:sz w:val="20"/>
                <w:szCs w:val="20"/>
                <w:lang w:eastAsia="zh-CN"/>
              </w:rPr>
              <w:t>予以</w:t>
            </w:r>
            <w:r>
              <w:rPr>
                <w:rFonts w:hint="eastAsia" w:eastAsia="仿宋_GB2312"/>
                <w:color w:val="auto"/>
                <w:kern w:val="0"/>
                <w:sz w:val="20"/>
                <w:szCs w:val="20"/>
              </w:rPr>
              <w:t>公告。</w:t>
            </w:r>
          </w:p>
          <w:p>
            <w:pPr>
              <w:adjustRightInd w:val="0"/>
              <w:snapToGrid w:val="0"/>
              <w:spacing w:line="300" w:lineRule="exact"/>
              <w:ind w:firstLine="400" w:firstLineChars="200"/>
              <w:rPr>
                <w:rFonts w:hint="eastAsia" w:eastAsia="仿宋_GB2312"/>
                <w:color w:val="auto"/>
                <w:kern w:val="0"/>
                <w:sz w:val="20"/>
                <w:szCs w:val="20"/>
                <w:lang w:eastAsia="zh-CN"/>
              </w:rPr>
            </w:pP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4</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对违反洗染业管理相关规定行为的处罚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洗染业管理办法》(2007年商务部、国家工商行政管理总局、国家环境保护总局令第5号)第三条：商务部对全国洗染行业进行指导、协调、监督和管理，地方各级商务主管部门负责本行政区域内洗染行业指导、协调、监督和管理工作。</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二条：经营者违反本办法规定，法律法规有规定的，从其规定；没有规定的，由商务、工商、环保部门依据本办法第三条规定的职能责令改正，有违法所得的，可处违法所得3倍以下罚款，但最高不超过3万元；没有违法所得的，可处</w:t>
            </w:r>
            <w:r>
              <w:rPr>
                <w:rFonts w:hint="eastAsia" w:eastAsia="仿宋_GB2312"/>
                <w:color w:val="auto"/>
                <w:kern w:val="0"/>
                <w:sz w:val="20"/>
                <w:szCs w:val="20"/>
                <w:lang w:val="en-US" w:eastAsia="zh-CN"/>
              </w:rPr>
              <w:t>1</w:t>
            </w:r>
            <w:r>
              <w:rPr>
                <w:rFonts w:hint="eastAsia" w:eastAsia="仿宋_GB2312"/>
                <w:color w:val="auto"/>
                <w:kern w:val="0"/>
                <w:sz w:val="20"/>
                <w:szCs w:val="20"/>
              </w:rPr>
              <w:t>万元以下罚款；并可予以公告。</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5</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对违反美容美发业管理相关规定行为的处罚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美容美发业管理暂行办法》(2004年商务部令第19号)第十八条：各级商务主管部门对于违反本办法的美容美发经营者可以予以警告，令其限期改正；必要时，可以向社会公告。对依据有关法律、法规应予以处罚的，各级商务主管部门可以提请有关部门依法处罚。</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6</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对违反餐饮业经营管理相关规定行为的处罚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餐饮业经营管理办法（试行）》（2014年国商务部、国家发展和改革委员会令第4号）第三条：商务部负责全国餐饮行业管理工作，制定行业规划、政策和标准，开展行业统计，规范行业秩序。地方各级人民政府商务主管部门负责本行政区域内餐饮业行业管理工作。</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一条：商务、价格等主管部门依照法律法规、规章及有关规定，在各自职责范围内对餐饮业经营行为进行监督管理。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商务、价格等主管部门应当自作出行政处罚决定之日起</w:t>
            </w:r>
            <w:r>
              <w:rPr>
                <w:rFonts w:hint="eastAsia" w:eastAsia="仿宋_GB2312"/>
                <w:color w:val="auto"/>
                <w:kern w:val="0"/>
                <w:sz w:val="20"/>
                <w:szCs w:val="20"/>
                <w:lang w:val="en-US" w:eastAsia="zh-CN"/>
              </w:rPr>
              <w:t>20</w:t>
            </w:r>
            <w:r>
              <w:rPr>
                <w:rFonts w:hint="eastAsia" w:eastAsia="仿宋_GB2312"/>
                <w:color w:val="auto"/>
                <w:kern w:val="0"/>
                <w:sz w:val="20"/>
                <w:szCs w:val="20"/>
              </w:rPr>
              <w:t>个工作日内，公开行政处罚决定书的主要内容，但行政处罚决定书中涉及国家秘密、商业秘密、个人隐私的内容依法不予公开。</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7</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违反家电维修服务业管理相关规定行为的处罚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【部门规章】《家电维修服务业管理办法》（ 2012年商务部令第7号）第九条：家电维修经营者和从业人员应恪守职业道德，不得有下列行为：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（一）虚列、夸大、伪造维修服务项目或内容；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（二）隐瞒、掩饰因维修服务导致用户产品损毁的事实；</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（三）虚报故障部件，故意替换性能正常的部件；</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（四）冒用家电生产者商标或特约维修标识。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四条：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eastAsia" w:eastAsia="仿宋_GB2312"/>
                <w:color w:val="auto"/>
                <w:kern w:val="0"/>
                <w:sz w:val="20"/>
                <w:szCs w:val="20"/>
                <w:lang w:val="en-US" w:eastAsia="zh-CN"/>
              </w:rPr>
            </w:pPr>
            <w:r>
              <w:rPr>
                <w:rFonts w:hint="eastAsia" w:eastAsia="仿宋_GB2312"/>
                <w:color w:val="auto"/>
                <w:kern w:val="0"/>
                <w:sz w:val="20"/>
                <w:szCs w:val="20"/>
                <w:lang w:val="en-US" w:eastAsia="zh-CN"/>
              </w:rPr>
              <w:t>8</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对从事旧电器电子产品收购的经营者未按规定进行产品收购登记和建立相关档案行为的处罚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旧电器电子产品流通管理办法》(2013年国商务部令第1号)第七条：经营者收购旧电器电子产品时应当对收购产品进行登记。登记信息应包括旧电器电子产品的品名、商标、型号、出售人原始购买凭证或者出售人身份信息等。</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第八条：经营者应当建立旧电器电子产品档案资料。档案资料应当包括产品的收购登记信息，质量性能状况、主要部件的维修、翻新情况和后配件的商标、生产者信息等情况。</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第十五条：旧电器电子产品市场应当建立旧电器电子经营者档案，如实记录市场内经营者身份信息和信用信息。</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第十九条：经营者违反本办法第七条、第八条、第十五条规定的，由县级以上地方商务主管部门责令改正；逾期不改正的，可处二千元以上一万元以下罚款。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9</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对旧电器电子产品经营者未按规定进行产品标识标注、设立销售台账、提供合法的销售凭证和三包服务、履行保密义务和明示义务或未如实提供、报送相关信息和数据行为的处罚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旧电器电子产品流通管理办法》(2013年国商务部令第1号)第九条：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退出使用的涉密旧电器电子产品的流通活动应当符合《保守国家秘密法》和国家有关保密规定。</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第十一条：待售的旧电器电子产品应在显著位置标识为旧货。</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第十二条：经营者销售旧电器电子产品时，应当向购买者明示产品质量性能状况、主要部件维修、翻新等有关情况。严禁经营者以翻新产品冒充新产品出售。</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第十三条：经营者应当向购买者出具销售凭证或发票，并应当提供不少于</w:t>
            </w:r>
            <w:r>
              <w:rPr>
                <w:rFonts w:hint="eastAsia" w:eastAsia="仿宋_GB2312"/>
                <w:color w:val="auto"/>
                <w:kern w:val="0"/>
                <w:sz w:val="20"/>
                <w:szCs w:val="20"/>
                <w:lang w:val="en-US" w:eastAsia="zh-CN"/>
              </w:rPr>
              <w:t>3</w:t>
            </w:r>
            <w:r>
              <w:rPr>
                <w:rFonts w:hint="eastAsia" w:eastAsia="仿宋_GB2312"/>
                <w:color w:val="auto"/>
                <w:kern w:val="0"/>
                <w:sz w:val="20"/>
                <w:szCs w:val="20"/>
              </w:rPr>
              <w:t>个月的免费包修服务，交易双方另有约定的除外。旧电器电子产品仍在三包有效期内的，经营者应依法履行三包责任。经营者应当设立销售台账，对销售情况进行如实、准确记录。</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八条：县级以上地方商务主管部门应当根据本地实际，建立定期检查及不定期抽查制度，及时发现和处理有关问题。经营者和旧电器电子产品市场应配合商务主管部门的监督检查，如实提供信息和材料。县级以上地方商务主管部门应当组织本行政区域内的行业统计工作，经营者应按照商务主管部门要求及时报送相关信息和数据。</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条：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10</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对经营者违反规定收购、销售国家禁止的旧电器电子产品行为的处罚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【部门规章】《旧电器电子产品流通管理办法》(2013年国商务部令第1号)第十条：禁止经营者收购下列旧电器电子产品：（一）依法查封、扣押的；　二）明知是通过盗窃、抢劫、诈骗、走私或其他违法犯罪手段获得的；（三）不能说明合法来源的；（四）其他法律、行政法规禁止收购的。</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四条：禁止经营者销售下列旧电器电子产品：（一）丧失全部使用功能或达到国家强制报废条件的；（二）不符合保障人体健康和人身、财产安全等强制性标准要求的；（三）其他法律、行政法规禁止销售的。</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一条：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15"/>
                <w:szCs w:val="15"/>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11</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对家庭服务机构未公开服务项目、收费标准和投诉监督电话的处罚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第九条：家庭服务机构应在经营场所醒目位置悬挂有关证照，公开服务项目、收费标准和投诉监督电话。</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第三十二条：家庭服务机构违反本办法第九条规定，未公开服务项目、收费标准和投诉监督电话的，由商务主管部门责令改正；拒不改正的，可处5000元以下罚款。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12</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对家庭服务机构未按规定建立工作管理制度及不妥善处理消费者和家庭服务员之间的投诉的处罚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第十条：家庭服务机构须建立家庭服务员工作档案，接受并协调消费者和家庭服务员投诉，建立家庭服务员服务质量跟踪管理制度。</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第三十三条：家庭服务机构违反本办法第十条规定，未按要求建立工作档案、跟踪管理制度，对消费者和家庭服务员之间的投诉不予妥善处理的，由商务主管部门责令改正；拒不改正的，可处</w:t>
            </w:r>
            <w:r>
              <w:rPr>
                <w:rFonts w:hint="eastAsia" w:eastAsia="仿宋_GB2312"/>
                <w:color w:val="auto"/>
                <w:kern w:val="0"/>
                <w:sz w:val="20"/>
                <w:szCs w:val="20"/>
                <w:lang w:val="en-US" w:eastAsia="zh-CN"/>
              </w:rPr>
              <w:t>2</w:t>
            </w:r>
            <w:r>
              <w:rPr>
                <w:rFonts w:hint="eastAsia" w:eastAsia="仿宋_GB2312"/>
                <w:color w:val="auto"/>
                <w:kern w:val="0"/>
                <w:sz w:val="20"/>
                <w:szCs w:val="20"/>
              </w:rPr>
              <w:t>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13</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对家庭服务机构不按规定建立和报送经营档案信息的处罚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第十一条：家庭服务机构应按照县级以上商务主管部门要求及时准确地提供经营档案信息。</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第二十六条：商务部建立家庭服务业信息报送系统。家庭服务机构应按要求及时报送经营情况信息，具体报送内容由商务部另行规定。</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第三十四条：家庭服务机构违反本办法第十一条、第二十六条规定，未按要求提供信息的，由商务主管部门责令改正；拒不改正的，可处</w:t>
            </w:r>
            <w:r>
              <w:rPr>
                <w:rFonts w:hint="eastAsia" w:eastAsia="仿宋_GB2312"/>
                <w:color w:val="auto"/>
                <w:kern w:val="0"/>
                <w:sz w:val="20"/>
                <w:szCs w:val="20"/>
                <w:lang w:val="en-US" w:eastAsia="zh-CN"/>
              </w:rPr>
              <w:t>1</w:t>
            </w:r>
            <w:r>
              <w:rPr>
                <w:rFonts w:hint="eastAsia" w:eastAsia="仿宋_GB2312"/>
                <w:color w:val="auto"/>
                <w:kern w:val="0"/>
                <w:sz w:val="20"/>
                <w:szCs w:val="20"/>
              </w:rPr>
              <w:t>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14</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对家庭服务机构违反规定提供家庭服务活动或不按规定管理家庭服务员行为的处罚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二条：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 （八）法律、法规禁止的其他行为。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第三十五条：家庭服务机构有本办法第十二条规定行为的，由商务主管部门或有关主管部门责令改正；拒不改正的，属于商务主管部门职责的，可处</w:t>
            </w:r>
            <w:r>
              <w:rPr>
                <w:rFonts w:hint="eastAsia" w:eastAsia="仿宋_GB2312"/>
                <w:color w:val="auto"/>
                <w:kern w:val="0"/>
                <w:sz w:val="20"/>
                <w:szCs w:val="20"/>
                <w:lang w:val="en-US" w:eastAsia="zh-CN"/>
              </w:rPr>
              <w:t>3</w:t>
            </w:r>
            <w:r>
              <w:rPr>
                <w:rFonts w:hint="eastAsia" w:eastAsia="仿宋_GB2312"/>
                <w:color w:val="auto"/>
                <w:kern w:val="0"/>
                <w:sz w:val="20"/>
                <w:szCs w:val="20"/>
              </w:rPr>
              <w:t>万元以下罚款，属于其他部门职责的，由商务主管部门提请有关主管部门处理。</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15</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对未按要求订立家庭服务合同、拒绝家庭服务员获取家庭服务合同的处罚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三条：从事家庭服务活动，家庭服务机构或家庭服务员应当与消费者以书面形式签订家庭服务合同。第十四条：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 （四）各方权利与义务、违约责任与争议解决方式等。</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第十五条：家庭服务机构应当明确告知涉及家庭服务员利益的服务合同内容，应允许家庭服务员查阅、复印家庭服务合同，保护其合法权益。</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第三十六条：家庭服务机构违反本办法第十三条、第十四条、第十五条规定，未按要求订立家庭服务合同的，拒绝家庭服务员获取家庭服务合同的，由商务主管部门或有关部门责令改正；拒不改正的，可处</w:t>
            </w:r>
            <w:r>
              <w:rPr>
                <w:rFonts w:hint="eastAsia" w:eastAsia="仿宋_GB2312"/>
                <w:color w:val="auto"/>
                <w:kern w:val="0"/>
                <w:sz w:val="20"/>
                <w:szCs w:val="20"/>
                <w:lang w:val="en-US" w:eastAsia="zh-CN"/>
              </w:rPr>
              <w:t>3</w:t>
            </w:r>
            <w:r>
              <w:rPr>
                <w:rFonts w:hint="eastAsia" w:eastAsia="仿宋_GB2312"/>
                <w:color w:val="auto"/>
                <w:kern w:val="0"/>
                <w:sz w:val="20"/>
                <w:szCs w:val="20"/>
              </w:rPr>
              <w:t>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16</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对零售商供应商交易中不公平行为的处罚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零售商供应商公平交易管理办法》（2006年商务部、发展改革委、公安部、税务总局、工商总局第17号令）第二十一条：各地商务、价格、税务、工商等部门依照法律法规及本办法，在各自的职责范围内对本办法规定的行为进行监督管理。对涉嫌犯罪的，由公安机关依法予以查处。 县级以上商务主管部门应会同同级有关部门对零售商供应商公平交易行为实行动态监测，进行风险预警，及时采取防范措施。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第二十二条：对违反本办法规定的行为任何单位和个人均可向上述部门举报，相关部门接到举报后，应当依法予以查处。</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第二十四条：县级以上商务、价格、税务、工商等部门发现零售商涉嫌骗取供应商货款的，应当将其涉嫌犯罪的线索及时移送当地公安机关。公安机关应及时开展调查工作，涉嫌犯罪的，依法立案侦查。</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17</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对生活必需品销售和储运单位及其人员违反生活必需品市场供应应急管理规定行为的处罚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生活必需品市场供应应急管理办法》(2011年商务部令第4号)第三十八条：生活必需品销售和储运单位及其人员有下列行为之一的，由县级以上地方人民政府有关主管部门根据情节，依法责令改正、没收违法所得、罚款、警告；造成严重危害后果，构成犯罪的，提请司法机关依法追究刑事责任：（一）未按照规定履行市场异常波动报告职责，隐瞒、缓报、谎报或者漏报的；（二）未按照规定报送监测资料的；（三）购进、销售假冒伪劣商品及囤积居奇、哄抬物价的；（四）未按照规定及时采取组织货源等预防控制措施的；（五）拒绝服从商务主管部门调遣的；（六）拒绝、阻碍或者不配合现场调查、资料收集及监督检查的。</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18</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对经营公司未按相关规定办理劳务人员出国手续的处罚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办理劳务人员出国手续的办法》（2002年对外经贸部、外交部、公安部第2号令）第十七条：经营公司违反本办法的，由地方外经贸主管部门给予警告处罚，有违法所得的，处以人民币30000元以下罚款；无违法所得的，处以人民币10000元以下罚款。构成犯罪的，依法追究刑事责任。</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19</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对对外劳务合作企业未按规定安排劳务人员相关行为的处罚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行政法规】《对外劳务合作管理条例》（2012年国务院令第620号）第四条：国务院商务主管部门负责全国的对外劳务合作监督管理工作。国务院外交、公安、人力资源社会保障、交通运输、住房城乡建设、渔业、工商行政管理等有关部门在各自职责范围内，负责对外劳务合作监督管理的相关工作。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四十二条：：对外劳务合作企业有下列情形之一的，由商务主管部门责令改正；拒不改正的，处5万元以上10万元以下的罚款，并对其主要负责人处1万元以上3万元以下的罚款：（一）未安排劳务人员接受培训，组织劳务人员赴国外工作；（二）未依照本条例规定为劳务人员购买在国外工作期间的人身意外伤害保险；（三）未依照本条例规定安排随行管理人员。</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20</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对对外劳务合作企业未按规定执行备案手续和未制定突发事件应急预案相关行为的处罚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行政法规】《对外劳务合作管理条例》（2012年国务院令第620号）第四条：国务院商务主管部门负责全国的对外劳务合作监督管理工作。国务院外交、公安、人力资源社会保障、交通运输、住房城乡建设、渔业、工商行政管理等有关部门在各自职责范围内，负责对外劳务合作监督管理的相关工作。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四十五条：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21</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对违反商品现货市场交易相关规定行为的处罚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商品现货市场交易特别规定（试行）》（2013年商务部、中国人民银行、中国证券监督管理委员会令第3号）第十一条：市场经营者应当履行下列职责：（一）提供交易的场所、设施及相关服务；（二）按照本规定确定的交易方式和交易对象，建立健全交易、交收、结算、仓储、信息发布、风险控制、市场管理等业务规则与各项规章制度；（三）法律法规规定的其他职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第十二条：市场经营者应当公开业务规则和规章制度。制定、修改和变更业务规则和规章制度，应当在合理时间内提前公示。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第十三条：商品现货市场应当制定应急预案。出现异常情况时，应当及时采取有效措施，防止出现市场风险。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第十四条：市场经营者应当采取合同约束、系统控制、强化内部管理等措施，加强资金管理力度。市场经营者不得以任何形式侵占或挪用交易者的资金。</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第十七条：市场经营者应当建立完善商品信息发布制度，公布交易商品的名称、数量、质量、规格、产地等相关信息，保证信息的真实、准确，不得发布虚假信息。</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第十八条：采用现代信息化技术开展交易活动的，市场经营者应当实时记录商品仓储、交易、交收、结算、支付等相关信息，采取措施保证相关信息的完整和安全，并保存五年以上。</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第十九条：市场经营者不得擅自篡改、销毁相关信息和资料。</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第二十一条：市场经营者应当根据相关部门的要求报送有关经营信息与资料。</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三条：市场经营者违反第十一条、第十二条、第十三条、第十四条、第十七条、第十八条、第十九条、第二十一条规定，由县级以上商务主管部门会同有关部门责令改正。逾期不改的，处一万元以上三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22</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hint="eastAsia" w:eastAsia="仿宋_GB2312" w:cs="宋体"/>
                <w:color w:val="auto"/>
                <w:kern w:val="0"/>
                <w:sz w:val="20"/>
                <w:szCs w:val="20"/>
              </w:rPr>
            </w:pPr>
            <w:r>
              <w:rPr>
                <w:rFonts w:hint="eastAsia" w:eastAsia="仿宋_GB2312" w:cs="宋体"/>
                <w:color w:val="auto"/>
                <w:kern w:val="0"/>
                <w:sz w:val="20"/>
                <w:szCs w:val="20"/>
              </w:rPr>
              <w:t>对其他发卡企业违反单用途商业预付卡资金管理和信息报送相关规定行为的处罚</w:t>
            </w:r>
          </w:p>
          <w:p>
            <w:pPr>
              <w:adjustRightInd w:val="0"/>
              <w:snapToGrid w:val="0"/>
              <w:spacing w:line="300" w:lineRule="exact"/>
              <w:rPr>
                <w:rFonts w:hint="eastAsia" w:eastAsia="仿宋_GB2312" w:cs="宋体"/>
                <w:color w:val="auto"/>
                <w:kern w:val="0"/>
                <w:sz w:val="20"/>
                <w:szCs w:val="20"/>
              </w:rPr>
            </w:pP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第二十四条：发卡企业应对预收资金进行严格管理。预收资金只能用于发卡企业主营业务，不得用于不动产、股权、证券等投资及借贷。</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五条：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六条：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 预收资金余额的40%。</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第二十七条：规模发卡企业、集团发卡企业和品牌发卡企业应确定一个商业银行账户作为资金存管账户，并与存管银行签订资金存管协议。</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一条：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格式见附件3）。发卡企业填报的信息应当准确、真实、完整，不得故意隐瞒或虚报。</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rPr>
              <w:t>第三十七条第二款：发卡企业违反本办法第二十四条至第二十七条、第三十一条规定的，由备案机关责令限期改正；逾期仍不改正的，处以1万元以上3万元以下罚款。</w:t>
            </w:r>
          </w:p>
          <w:p>
            <w:pPr>
              <w:adjustRightInd w:val="0"/>
              <w:snapToGrid w:val="0"/>
              <w:spacing w:line="300" w:lineRule="exact"/>
              <w:ind w:firstLine="400" w:firstLineChars="200"/>
              <w:rPr>
                <w:rFonts w:hint="eastAsia" w:eastAsia="仿宋_GB2312"/>
                <w:color w:val="auto"/>
                <w:kern w:val="0"/>
                <w:sz w:val="20"/>
                <w:szCs w:val="20"/>
                <w:lang w:eastAsia="zh-CN"/>
              </w:rPr>
            </w:pP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noWrap/>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23</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行政处罚</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对其他发卡企业未按规定建立业务处理系统并保障其运行质量相关行为的处罚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【部门规章】《单用途商业预付卡管理办法（试行）》（2012年商务部令第9号公布,2016年商务部令2016年第2号修正）第七条：发卡企业应在开展单用途卡业务之日起</w:t>
            </w:r>
            <w:r>
              <w:rPr>
                <w:rFonts w:hint="eastAsia" w:eastAsia="仿宋_GB2312"/>
                <w:color w:val="auto"/>
                <w:kern w:val="0"/>
                <w:sz w:val="20"/>
                <w:szCs w:val="20"/>
                <w:lang w:val="en-US" w:eastAsia="zh-CN"/>
              </w:rPr>
              <w:t>30</w:t>
            </w:r>
            <w:r>
              <w:rPr>
                <w:rFonts w:hint="eastAsia" w:eastAsia="仿宋_GB2312"/>
                <w:color w:val="auto"/>
                <w:kern w:val="0"/>
                <w:sz w:val="20"/>
                <w:szCs w:val="20"/>
              </w:rPr>
              <w:t>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二十九条：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第三十八条：发卡企业违反本办法第二十九条（业务处理系统）规定，造成重大损失的，由备案机关处以1万元以上3万元以下罚款。</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1.立案阶段责任：发现涉嫌违法行为，应及时制止（对正在实施的违法行为，下达《责令停止违法行为通知书》），并予以审查，决定是否立案。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2.调查阶段责任：对立案的案件，指定专人负责，及时组织调查取证，与当事人有直接利害关系的应当回避。执法人员不得少于两人，调查时应出示执法证件，允许当事人辩解陈述。执法人员应保守有关秘密。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3.审查阶段责任：审理案件调查报告，对案件违法事实、证据、调查取证程序、法律适用、处罚种类和幅度、当事人陈述和申辩理由等方面进行审查，提出处理意见。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4.告知阶段责任：作出行政处罚决定前，告知违法事实及其享有的陈述、申辩等权利。符合听证规定的，告知当事人有要求举行听证的权利。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5.决定阶段责任：制作行政处罚决定书，载明行政处罚告知、当事人陈述申辩或者听证情况等内容。</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6.送达阶段责任：行政处罚决定书按法律规定的方式送达当事人。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7.执行阶段责任：依照生效的行政处罚决定，监督当事人履行。当事人逾期不履行的，可依法采取加处罚款、申请法院强制执行等措施。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8.其他法律法规规章规定应履行的责任。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360" w:firstLineChars="200"/>
              <w:rPr>
                <w:rFonts w:eastAsia="仿宋_GB2312"/>
                <w:color w:val="auto"/>
                <w:kern w:val="0"/>
                <w:sz w:val="18"/>
                <w:szCs w:val="18"/>
              </w:rPr>
            </w:pPr>
            <w:r>
              <w:rPr>
                <w:rFonts w:hint="eastAsia" w:eastAsia="仿宋_GB2312"/>
                <w:color w:val="auto"/>
                <w:kern w:val="0"/>
                <w:sz w:val="18"/>
                <w:szCs w:val="18"/>
                <w:lang w:val="en-US" w:eastAsia="zh-CN"/>
              </w:rPr>
              <w:t>1</w:t>
            </w:r>
            <w:r>
              <w:rPr>
                <w:rFonts w:hint="eastAsia" w:eastAsia="仿宋_GB2312"/>
                <w:color w:val="auto"/>
                <w:kern w:val="0"/>
                <w:sz w:val="18"/>
                <w:szCs w:val="18"/>
              </w:rPr>
              <w:t>.【法律】</w:t>
            </w:r>
            <w:r>
              <w:rPr>
                <w:rFonts w:hint="eastAsia" w:eastAsia="仿宋_GB2312"/>
                <w:color w:val="auto"/>
                <w:kern w:val="0"/>
                <w:sz w:val="18"/>
                <w:szCs w:val="18"/>
                <w:lang w:eastAsia="zh-CN"/>
              </w:rPr>
              <w:t>《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2.【法律】</w:t>
            </w:r>
            <w:r>
              <w:rPr>
                <w:rFonts w:hint="eastAsia" w:eastAsia="仿宋_GB2312"/>
                <w:color w:val="auto"/>
                <w:kern w:val="0"/>
                <w:sz w:val="18"/>
                <w:szCs w:val="18"/>
                <w:lang w:eastAsia="zh-CN"/>
              </w:rPr>
              <w:t>《中华人民共和国行政处罚法》</w:t>
            </w:r>
            <w:r>
              <w:rPr>
                <w:rFonts w:hint="eastAsia" w:eastAsia="仿宋_GB2312"/>
                <w:color w:val="auto"/>
                <w:kern w:val="0"/>
                <w:sz w:val="18"/>
                <w:szCs w:val="18"/>
              </w:rPr>
              <w:t>第五十五条</w:t>
            </w:r>
            <w:r>
              <w:rPr>
                <w:rFonts w:hint="eastAsia" w:eastAsia="仿宋_GB2312"/>
                <w:color w:val="auto"/>
                <w:kern w:val="0"/>
                <w:sz w:val="18"/>
                <w:szCs w:val="18"/>
                <w:lang w:eastAsia="zh-CN"/>
              </w:rPr>
              <w:t>：</w:t>
            </w:r>
            <w:r>
              <w:rPr>
                <w:rFonts w:hint="eastAsia" w:eastAsia="仿宋_GB2312"/>
                <w:color w:val="auto"/>
                <w:kern w:val="0"/>
                <w:sz w:val="18"/>
                <w:szCs w:val="18"/>
              </w:rPr>
              <w:t>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adjustRightInd w:val="0"/>
              <w:snapToGrid w:val="0"/>
              <w:spacing w:line="300" w:lineRule="exact"/>
              <w:ind w:firstLine="360" w:firstLineChars="200"/>
              <w:rPr>
                <w:rFonts w:hint="eastAsia" w:eastAsia="仿宋_GB2312"/>
                <w:color w:val="auto"/>
                <w:kern w:val="0"/>
                <w:sz w:val="18"/>
                <w:szCs w:val="18"/>
              </w:rPr>
            </w:pPr>
            <w:r>
              <w:rPr>
                <w:rFonts w:hint="eastAsia" w:eastAsia="仿宋_GB2312"/>
                <w:color w:val="auto"/>
                <w:kern w:val="0"/>
                <w:sz w:val="18"/>
                <w:szCs w:val="18"/>
              </w:rPr>
              <w:t>第五十六条</w:t>
            </w:r>
            <w:r>
              <w:rPr>
                <w:rFonts w:hint="eastAsia" w:eastAsia="仿宋_GB2312"/>
                <w:color w:val="auto"/>
                <w:kern w:val="0"/>
                <w:sz w:val="18"/>
                <w:szCs w:val="18"/>
                <w:lang w:eastAsia="zh-CN"/>
              </w:rPr>
              <w:t>：</w:t>
            </w:r>
            <w:r>
              <w:rPr>
                <w:rFonts w:hint="eastAsia" w:eastAsia="仿宋_GB2312"/>
                <w:color w:val="auto"/>
                <w:kern w:val="0"/>
                <w:sz w:val="18"/>
                <w:szCs w:val="18"/>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numPr>
                <w:ilvl w:val="0"/>
                <w:numId w:val="0"/>
              </w:numPr>
              <w:adjustRightInd w:val="0"/>
              <w:snapToGrid w:val="0"/>
              <w:spacing w:line="300" w:lineRule="exact"/>
              <w:ind w:firstLine="360" w:firstLineChars="200"/>
              <w:rPr>
                <w:rFonts w:hint="eastAsia" w:eastAsia="仿宋_GB2312"/>
                <w:color w:val="auto"/>
                <w:kern w:val="0"/>
                <w:sz w:val="18"/>
                <w:szCs w:val="18"/>
              </w:rPr>
            </w:pPr>
            <w:r>
              <w:rPr>
                <w:rFonts w:hint="default" w:eastAsia="仿宋_GB2312"/>
                <w:color w:val="auto"/>
                <w:kern w:val="0"/>
                <w:sz w:val="18"/>
                <w:szCs w:val="18"/>
                <w:lang w:val="en"/>
              </w:rPr>
              <w:t>3.</w:t>
            </w:r>
            <w:r>
              <w:rPr>
                <w:rFonts w:hint="eastAsia" w:eastAsia="仿宋_GB2312"/>
                <w:color w:val="auto"/>
                <w:kern w:val="0"/>
                <w:sz w:val="18"/>
                <w:szCs w:val="18"/>
              </w:rPr>
              <w:t>【法律】《中华人民共和国行政处罚法》第四十条</w:t>
            </w:r>
            <w:r>
              <w:rPr>
                <w:rFonts w:hint="eastAsia" w:eastAsia="仿宋_GB2312"/>
                <w:color w:val="auto"/>
                <w:kern w:val="0"/>
                <w:sz w:val="18"/>
                <w:szCs w:val="18"/>
                <w:lang w:eastAsia="zh-CN"/>
              </w:rPr>
              <w:t>：</w:t>
            </w:r>
            <w:r>
              <w:rPr>
                <w:rFonts w:hint="eastAsia" w:eastAsia="仿宋_GB2312"/>
                <w:color w:val="auto"/>
                <w:kern w:val="0"/>
                <w:sz w:val="18"/>
                <w:szCs w:val="18"/>
              </w:rPr>
              <w:t>公民、法人或者其他组织违反行政管理秩序的行为，依法应当给予行政处罚的，行政机关必须查明事实；违法事实不清、证据不足的，不得给予行政处罚。</w:t>
            </w:r>
          </w:p>
          <w:p>
            <w:p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4—1.【法律】《中华人民共和国行政处罚法》第六十二条</w:t>
            </w:r>
            <w:r>
              <w:rPr>
                <w:rFonts w:hint="eastAsia" w:eastAsia="仿宋_GB2312"/>
                <w:color w:val="auto"/>
                <w:kern w:val="0"/>
                <w:sz w:val="18"/>
                <w:szCs w:val="18"/>
                <w:lang w:eastAsia="zh-CN"/>
              </w:rPr>
              <w:t>：</w:t>
            </w:r>
            <w:r>
              <w:rPr>
                <w:rFonts w:hint="eastAsia" w:eastAsia="仿宋_GB2312"/>
                <w:color w:val="auto"/>
                <w:kern w:val="0"/>
                <w:sz w:val="18"/>
                <w:szCs w:val="18"/>
              </w:rPr>
              <w:t>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4—2.【法律】《中华人民共和国行政处罚法》第六十四条</w:t>
            </w:r>
            <w:r>
              <w:rPr>
                <w:rFonts w:hint="default" w:eastAsia="仿宋_GB2312"/>
                <w:color w:val="auto"/>
                <w:kern w:val="0"/>
                <w:sz w:val="18"/>
                <w:szCs w:val="18"/>
                <w:lang w:val="en"/>
              </w:rPr>
              <w:t>:</w:t>
            </w:r>
            <w:r>
              <w:rPr>
                <w:rFonts w:hint="eastAsia" w:eastAsia="仿宋_GB2312"/>
                <w:color w:val="auto"/>
                <w:kern w:val="0"/>
                <w:sz w:val="18"/>
                <w:szCs w:val="18"/>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numPr>
                <w:ilvl w:val="0"/>
                <w:numId w:val="0"/>
              </w:numPr>
              <w:adjustRightInd w:val="0"/>
              <w:snapToGrid w:val="0"/>
              <w:spacing w:line="300" w:lineRule="exact"/>
              <w:rPr>
                <w:rFonts w:hint="eastAsia" w:eastAsia="仿宋_GB2312"/>
                <w:color w:val="auto"/>
                <w:kern w:val="0"/>
                <w:sz w:val="18"/>
                <w:szCs w:val="18"/>
              </w:rPr>
            </w:pPr>
            <w:r>
              <w:rPr>
                <w:rFonts w:hint="eastAsia" w:eastAsia="仿宋_GB2312"/>
                <w:color w:val="auto"/>
                <w:kern w:val="0"/>
                <w:sz w:val="18"/>
                <w:szCs w:val="18"/>
                <w:lang w:val="en-US" w:eastAsia="zh-CN"/>
              </w:rPr>
              <w:t xml:space="preserve">    5.</w:t>
            </w:r>
            <w:r>
              <w:rPr>
                <w:rFonts w:hint="eastAsia" w:eastAsia="仿宋_GB2312"/>
                <w:color w:val="auto"/>
                <w:kern w:val="0"/>
                <w:sz w:val="18"/>
                <w:szCs w:val="18"/>
              </w:rPr>
              <w:t>【法律】《中华人民共和国行政处罚法》第五十七条</w:t>
            </w:r>
            <w:r>
              <w:rPr>
                <w:rFonts w:hint="eastAsia" w:eastAsia="仿宋_GB2312"/>
                <w:color w:val="auto"/>
                <w:kern w:val="0"/>
                <w:sz w:val="18"/>
                <w:szCs w:val="18"/>
                <w:lang w:eastAsia="zh-CN"/>
              </w:rPr>
              <w:t>：</w:t>
            </w:r>
            <w:r>
              <w:rPr>
                <w:rFonts w:hint="eastAsia" w:eastAsia="仿宋_GB2312"/>
                <w:color w:val="auto"/>
                <w:kern w:val="0"/>
                <w:sz w:val="18"/>
                <w:szCs w:val="18"/>
              </w:rPr>
              <w:t>对情节复杂或者重大违法行为给予行政处罚，行政机关负责人应当集体讨论决定。第五十九条</w:t>
            </w:r>
            <w:r>
              <w:rPr>
                <w:rFonts w:hint="eastAsia" w:eastAsia="仿宋_GB2312"/>
                <w:color w:val="auto"/>
                <w:kern w:val="0"/>
                <w:sz w:val="18"/>
                <w:szCs w:val="18"/>
                <w:lang w:eastAsia="zh-CN"/>
              </w:rPr>
              <w:t>：</w:t>
            </w:r>
            <w:r>
              <w:rPr>
                <w:rFonts w:hint="eastAsia" w:eastAsia="仿宋_GB2312"/>
                <w:color w:val="auto"/>
                <w:kern w:val="0"/>
                <w:sz w:val="18"/>
                <w:szCs w:val="18"/>
              </w:rPr>
              <w:t>行政机关依照本法第五十七条的规定给予行政处罚，应当制作行政处罚决定书。</w:t>
            </w:r>
          </w:p>
          <w:p>
            <w:pPr>
              <w:numPr>
                <w:ilvl w:val="0"/>
                <w:numId w:val="0"/>
              </w:numPr>
              <w:adjustRightInd w:val="0"/>
              <w:snapToGrid w:val="0"/>
              <w:spacing w:line="300" w:lineRule="exact"/>
              <w:rPr>
                <w:rFonts w:eastAsia="仿宋_GB2312"/>
                <w:color w:val="auto"/>
                <w:kern w:val="0"/>
                <w:sz w:val="18"/>
                <w:szCs w:val="18"/>
              </w:rPr>
            </w:pPr>
            <w:r>
              <w:rPr>
                <w:rFonts w:hint="eastAsia" w:eastAsia="仿宋_GB2312"/>
                <w:color w:val="auto"/>
                <w:kern w:val="0"/>
                <w:sz w:val="18"/>
                <w:szCs w:val="18"/>
                <w:lang w:val="en-US" w:eastAsia="zh-CN"/>
              </w:rPr>
              <w:t xml:space="preserve">    </w:t>
            </w:r>
            <w:r>
              <w:rPr>
                <w:rFonts w:hint="eastAsia" w:eastAsia="仿宋_GB2312"/>
                <w:color w:val="auto"/>
                <w:kern w:val="0"/>
                <w:sz w:val="18"/>
                <w:szCs w:val="18"/>
              </w:rPr>
              <w:t>6.【法律】《中华人民共和国行政处罚法》第六十一条</w:t>
            </w:r>
            <w:r>
              <w:rPr>
                <w:rFonts w:hint="eastAsia" w:eastAsia="仿宋_GB2312"/>
                <w:color w:val="auto"/>
                <w:kern w:val="0"/>
                <w:sz w:val="18"/>
                <w:szCs w:val="18"/>
                <w:lang w:eastAsia="zh-CN"/>
              </w:rPr>
              <w:t>：</w:t>
            </w:r>
            <w:r>
              <w:rPr>
                <w:rFonts w:hint="eastAsia" w:eastAsia="仿宋_GB2312"/>
                <w:color w:val="auto"/>
                <w:kern w:val="0"/>
                <w:sz w:val="18"/>
                <w:szCs w:val="18"/>
              </w:rPr>
              <w:t>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adjustRightInd w:val="0"/>
              <w:snapToGrid w:val="0"/>
              <w:spacing w:line="300" w:lineRule="exact"/>
              <w:ind w:firstLine="360" w:firstLineChars="200"/>
              <w:rPr>
                <w:rFonts w:eastAsia="仿宋_GB2312"/>
                <w:color w:val="auto"/>
                <w:kern w:val="0"/>
                <w:sz w:val="20"/>
                <w:szCs w:val="20"/>
              </w:rPr>
            </w:pPr>
            <w:r>
              <w:rPr>
                <w:rFonts w:hint="eastAsia" w:eastAsia="仿宋_GB2312"/>
                <w:color w:val="auto"/>
                <w:kern w:val="0"/>
                <w:sz w:val="18"/>
                <w:szCs w:val="18"/>
              </w:rPr>
              <w:t>7.【法律】《中华人民共和国行政处罚法》第七十二条</w:t>
            </w:r>
            <w:r>
              <w:rPr>
                <w:rFonts w:hint="eastAsia" w:eastAsia="仿宋_GB2312"/>
                <w:color w:val="auto"/>
                <w:kern w:val="0"/>
                <w:sz w:val="18"/>
                <w:szCs w:val="18"/>
                <w:lang w:eastAsia="zh-CN"/>
              </w:rPr>
              <w:t>：</w:t>
            </w:r>
            <w:r>
              <w:rPr>
                <w:rFonts w:hint="eastAsia" w:eastAsia="仿宋_GB2312"/>
                <w:color w:val="auto"/>
                <w:kern w:val="0"/>
                <w:sz w:val="18"/>
                <w:szCs w:val="18"/>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1005" w:type="dxa"/>
            <w:tcBorders>
              <w:top w:val="single" w:color="auto" w:sz="4" w:space="0"/>
              <w:left w:val="nil"/>
              <w:bottom w:val="single" w:color="auto" w:sz="4" w:space="0"/>
              <w:right w:val="single" w:color="auto" w:sz="4" w:space="0"/>
            </w:tcBorders>
            <w:noWrap/>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24</w:t>
            </w:r>
          </w:p>
        </w:tc>
        <w:tc>
          <w:tcPr>
            <w:tcW w:w="534"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行政强制</w:t>
            </w:r>
          </w:p>
        </w:tc>
        <w:tc>
          <w:tcPr>
            <w:tcW w:w="954"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扣押易制毒化学品进出口相关证据材料、违法物品和查封有关场所</w:t>
            </w:r>
          </w:p>
        </w:tc>
        <w:tc>
          <w:tcPr>
            <w:tcW w:w="1005"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1.【行政法规】《易制毒化学品管理条例》(2005年国务院令第445号发布,2018年国务院令第703号修订）</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前款规定的行政主管部门在进行易制毒化学品监督检查时，可以依法查看现场、查阅和复制有关资料、记录有关情况、扣押相关的证据材料和违法物品；必要时，可以临时查封有关场所。</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2.【部门规章】《易制毒化学品进出口管理规定》（2006年商务部令第7号, 2015年商务部令第2号修订）第四条：县级以上商务主管部门负责本地区易制毒化学品进出口监督检查工作。第四十一条：县级以上商务主管部门应当按照本规定和其他有关法律、法规规定，严格履行对本地区易制毒化学品进出口的监督检查职责，依法查处违法行为。</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第四十二条：县级以上商务主管部门对经营者进行监督检查时，可以依法查看现场、查阅和复制有关资料、记录有关情况、扣押相关的证据材料和物品；必要时，可以临时查封有关场所。</w:t>
            </w:r>
          </w:p>
        </w:tc>
        <w:tc>
          <w:tcPr>
            <w:tcW w:w="3775"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1.取得批准责任：向行政机关负责人报告，由2名以上执法人员执行。</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2.告知责任：执法人员通知当事人到场且出示行政执法证件，当场告知当事人采取行政强制措施的理由、依据以及当事人依法想要的权利、救济途径，听取当事人的陈述和身边。</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3.决定阶段责任：做出行政强制决定。</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4.执行阶段责任：执行并交付查封、扣押决定书和清单。</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5.其他法律法规规章文件应履行的责任。</w:t>
            </w:r>
          </w:p>
        </w:tc>
        <w:tc>
          <w:tcPr>
            <w:tcW w:w="7578"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【法律】《中华人民共和国行政强制法》第十八条：行政机关实施行政强制措施应当遵守下列规定：</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（一）实施前须向行政机关负责人报告并经批准；</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（二）由两名以上行政执法人员实施；</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（三）出示执法身份证件；</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（四）通知当事人到场；</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（五）当场告知当事人采取行政强制措施的理由、依据以及当事人依法享有的权利、救济途径；</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（六）听取当事人的陈述和申辩；</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（七）制作现场笔录；</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（八）现场笔录由当事人和行政执法人员签名或者盖章，当事人拒绝的，在笔录中予以注明；</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（九）当事人不到场的，邀请见证人到场，由见证人和行政执法人员在现场笔录上签名或者盖章；</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（十）法律、法规规定的其他程序。</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第二十四条：行政机关决定实施查封、扣押的，应当履行本法第十八条规定的程序，制作并当场交付查封、扣押决定书和清单。</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查封、扣押决定书应当载明下列事项：</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（一）当事人的姓名或者名称、地址；</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（二）查封、扣押的理由、依据和期限；</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（三）查封、扣押场所、设施或者财物的名称、数量等；</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（四）申请行政复议或者提起行政诉讼的途径和期限；</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s="宋体"/>
                <w:color w:val="auto"/>
                <w:kern w:val="0"/>
                <w:sz w:val="20"/>
                <w:szCs w:val="20"/>
              </w:rPr>
              <w:t>（五）行政机关的名称、印章和日期。</w:t>
            </w:r>
          </w:p>
          <w:p>
            <w:pPr>
              <w:adjustRightInd w:val="0"/>
              <w:snapToGrid w:val="0"/>
              <w:spacing w:line="280" w:lineRule="exact"/>
              <w:ind w:firstLine="400" w:firstLineChars="200"/>
              <w:rPr>
                <w:rFonts w:eastAsia="仿宋_GB2312" w:cs="宋体"/>
                <w:color w:val="auto"/>
                <w:kern w:val="0"/>
                <w:sz w:val="20"/>
                <w:szCs w:val="20"/>
              </w:rPr>
            </w:pPr>
            <w:r>
              <w:rPr>
                <w:rFonts w:hint="eastAsia" w:eastAsia="仿宋_GB2312" w:cs="宋体"/>
                <w:color w:val="auto"/>
                <w:kern w:val="0"/>
                <w:sz w:val="20"/>
                <w:szCs w:val="20"/>
              </w:rPr>
              <w:t>查封、扣押清单一式二份，由当事人和行政机关分别保存。</w:t>
            </w:r>
          </w:p>
        </w:tc>
        <w:tc>
          <w:tcPr>
            <w:tcW w:w="1005" w:type="dxa"/>
            <w:tcBorders>
              <w:top w:val="single" w:color="auto" w:sz="4" w:space="0"/>
              <w:left w:val="nil"/>
              <w:bottom w:val="single" w:color="auto" w:sz="4" w:space="0"/>
              <w:right w:val="single" w:color="auto" w:sz="4" w:space="0"/>
            </w:tcBorders>
            <w:shd w:val="clear" w:color="auto" w:fill="auto"/>
            <w:noWrap/>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369"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25</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发卡企业和售卡企业单用途卡业务活动、内部控制和风险状况等监督检查</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部门规章】《单用途商业预付卡管理办法（试行）》（2012年商务部令第9号公布，2016年商务部令第2号修正）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第三十四条：商务部应建立健全“单用途商业预付卡业务信息系统”。地方人民政府商务主管部门应充分运用信息化手段加强对发卡企业的监督管理。</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第三十五条：商务部和地方人民政府商务主管部门应通过12313商务举报投诉服务平台接受与本办法有关的举报和投诉。</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1.选案阶段责任：根据举报或上级安排以及日常管理中发现的问题确定进行检查</w:t>
            </w:r>
            <w:r>
              <w:rPr>
                <w:rFonts w:hint="eastAsia" w:eastAsia="仿宋_GB2312"/>
                <w:color w:val="auto"/>
                <w:kern w:val="0"/>
                <w:sz w:val="20"/>
                <w:szCs w:val="20"/>
                <w:lang w:eastAsia="zh-CN"/>
              </w:rPr>
              <w:t>。</w:t>
            </w:r>
          </w:p>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2.检查阶段责任：检查应按有关程序进行，指定专人负责，及时组织调查取证，与当事人有直接利害关系的应当回避</w:t>
            </w:r>
            <w:r>
              <w:rPr>
                <w:rFonts w:hint="eastAsia" w:eastAsia="仿宋_GB2312"/>
                <w:color w:val="auto"/>
                <w:kern w:val="0"/>
                <w:sz w:val="20"/>
                <w:szCs w:val="20"/>
                <w:lang w:eastAsia="zh-CN"/>
              </w:rPr>
              <w:t>。</w:t>
            </w:r>
            <w:r>
              <w:rPr>
                <w:rFonts w:hint="eastAsia" w:eastAsia="仿宋_GB2312"/>
                <w:color w:val="auto"/>
                <w:kern w:val="0"/>
                <w:sz w:val="20"/>
                <w:szCs w:val="20"/>
              </w:rPr>
              <w:t>检查人员不得少于两人，调查时应出示执法证件，允许当事人辩解陈述</w:t>
            </w:r>
            <w:r>
              <w:rPr>
                <w:rFonts w:hint="eastAsia" w:eastAsia="仿宋_GB2312"/>
                <w:color w:val="auto"/>
                <w:kern w:val="0"/>
                <w:sz w:val="20"/>
                <w:szCs w:val="20"/>
                <w:lang w:eastAsia="zh-CN"/>
              </w:rPr>
              <w:t>。</w:t>
            </w:r>
            <w:r>
              <w:rPr>
                <w:rFonts w:hint="eastAsia" w:eastAsia="仿宋_GB2312"/>
                <w:color w:val="auto"/>
                <w:kern w:val="0"/>
                <w:sz w:val="20"/>
                <w:szCs w:val="20"/>
              </w:rPr>
              <w:t>检查人员应保守有关秘密</w:t>
            </w:r>
            <w:r>
              <w:rPr>
                <w:rFonts w:hint="eastAsia" w:eastAsia="仿宋_GB2312"/>
                <w:color w:val="auto"/>
                <w:kern w:val="0"/>
                <w:sz w:val="20"/>
                <w:szCs w:val="20"/>
                <w:lang w:eastAsia="zh-CN"/>
              </w:rPr>
              <w:t>。</w:t>
            </w:r>
          </w:p>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lang w:val="en-US" w:eastAsia="zh-CN"/>
              </w:rPr>
              <w:t>3</w:t>
            </w:r>
            <w:r>
              <w:rPr>
                <w:rFonts w:hint="eastAsia" w:eastAsia="仿宋_GB2312"/>
                <w:color w:val="auto"/>
                <w:kern w:val="0"/>
                <w:sz w:val="20"/>
                <w:szCs w:val="20"/>
              </w:rPr>
              <w:t>.告知环节责任：对违法事实、处理依据、处理意见告知，听取当事人陈述申辩</w:t>
            </w:r>
            <w:r>
              <w:rPr>
                <w:rFonts w:hint="eastAsia" w:eastAsia="仿宋_GB2312"/>
                <w:color w:val="auto"/>
                <w:kern w:val="0"/>
                <w:sz w:val="20"/>
                <w:szCs w:val="20"/>
                <w:lang w:eastAsia="zh-CN"/>
              </w:rPr>
              <w:t>。</w:t>
            </w:r>
          </w:p>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lang w:val="en-US" w:eastAsia="zh-CN"/>
              </w:rPr>
              <w:t>4</w:t>
            </w:r>
            <w:r>
              <w:rPr>
                <w:rFonts w:hint="eastAsia" w:eastAsia="仿宋_GB2312"/>
                <w:color w:val="auto"/>
                <w:kern w:val="0"/>
                <w:sz w:val="20"/>
                <w:szCs w:val="20"/>
              </w:rPr>
              <w:t>.决定环节责任：根据违法事实以及当事人陈述意见作出处理决定，重大案件应组织集体审议</w:t>
            </w:r>
            <w:r>
              <w:rPr>
                <w:rFonts w:hint="eastAsia" w:eastAsia="仿宋_GB2312"/>
                <w:color w:val="auto"/>
                <w:kern w:val="0"/>
                <w:sz w:val="20"/>
                <w:szCs w:val="20"/>
                <w:lang w:eastAsia="zh-CN"/>
              </w:rPr>
              <w:t>。</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rPr>
              <w:t>1.【部门规章】《单用途商业预付卡管理办法（试行）》（2012年商务部令第9号公布，2016年商务部令第2号修正）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pPr>
              <w:adjustRightInd w:val="0"/>
              <w:snapToGrid w:val="0"/>
              <w:spacing w:line="280" w:lineRule="exact"/>
              <w:ind w:firstLine="400" w:firstLineChars="200"/>
              <w:rPr>
                <w:rFonts w:eastAsia="仿宋_GB2312"/>
                <w:color w:val="auto"/>
                <w:kern w:val="0"/>
                <w:sz w:val="20"/>
                <w:szCs w:val="20"/>
              </w:rPr>
            </w:pPr>
            <w:r>
              <w:rPr>
                <w:rFonts w:hint="eastAsia" w:eastAsia="仿宋_GB2312"/>
                <w:color w:val="auto"/>
                <w:kern w:val="0"/>
                <w:sz w:val="20"/>
                <w:szCs w:val="20"/>
                <w:lang w:eastAsia="zh-CN"/>
              </w:rPr>
              <w:t>第三十四条：</w:t>
            </w:r>
            <w:r>
              <w:rPr>
                <w:rFonts w:hint="eastAsia" w:eastAsia="仿宋_GB2312"/>
                <w:color w:val="auto"/>
                <w:kern w:val="0"/>
                <w:sz w:val="20"/>
                <w:szCs w:val="20"/>
              </w:rPr>
              <w:t>商务部应建立健全“单用途商业预付卡业务信息系统”。地方人民政府商务主管部门应充分运用信息化手段加强对发卡企业的监督管理。</w:t>
            </w:r>
          </w:p>
          <w:p>
            <w:pPr>
              <w:adjustRightInd w:val="0"/>
              <w:snapToGrid w:val="0"/>
              <w:spacing w:line="280" w:lineRule="exact"/>
              <w:ind w:firstLine="400" w:firstLineChars="200"/>
              <w:rPr>
                <w:rFonts w:hint="eastAsia" w:eastAsia="仿宋_GB2312"/>
                <w:color w:val="auto"/>
                <w:kern w:val="0"/>
                <w:sz w:val="20"/>
                <w:szCs w:val="20"/>
              </w:rPr>
            </w:pPr>
            <w:r>
              <w:rPr>
                <w:rFonts w:hint="eastAsia" w:eastAsia="仿宋_GB2312"/>
                <w:color w:val="auto"/>
                <w:kern w:val="0"/>
                <w:sz w:val="20"/>
                <w:szCs w:val="20"/>
              </w:rPr>
              <w:t>2.【法律】参照《中华人民共和国行政处罚法》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第四十二条</w:t>
            </w:r>
            <w:r>
              <w:rPr>
                <w:rFonts w:hint="eastAsia" w:eastAsia="仿宋_GB2312"/>
                <w:color w:val="auto"/>
                <w:kern w:val="0"/>
                <w:sz w:val="20"/>
                <w:szCs w:val="20"/>
                <w:lang w:eastAsia="zh-CN"/>
              </w:rPr>
              <w:t>：</w:t>
            </w:r>
            <w:r>
              <w:rPr>
                <w:rFonts w:hint="default" w:eastAsia="仿宋_GB2312"/>
                <w:color w:val="auto"/>
                <w:kern w:val="0"/>
                <w:sz w:val="20"/>
                <w:szCs w:val="20"/>
              </w:rPr>
              <w:t>行政处罚应当由具有行政执法资格的执法人员实施。执法人员不得少于两人，法律另有规定的除外</w:t>
            </w:r>
            <w:r>
              <w:rPr>
                <w:rFonts w:hint="eastAsia" w:eastAsia="仿宋_GB2312"/>
                <w:color w:val="auto"/>
                <w:kern w:val="0"/>
                <w:sz w:val="20"/>
                <w:szCs w:val="20"/>
                <w:lang w:eastAsia="zh-CN"/>
              </w:rPr>
              <w:t>。</w:t>
            </w:r>
            <w:r>
              <w:rPr>
                <w:rFonts w:hint="default" w:eastAsia="仿宋_GB2312"/>
                <w:color w:val="auto"/>
                <w:kern w:val="0"/>
                <w:sz w:val="20"/>
                <w:szCs w:val="20"/>
              </w:rPr>
              <w:br w:type="textWrapping"/>
            </w:r>
            <w:r>
              <w:rPr>
                <w:rFonts w:hint="default" w:eastAsia="仿宋_GB2312"/>
                <w:color w:val="auto"/>
                <w:kern w:val="0"/>
                <w:sz w:val="20"/>
                <w:szCs w:val="20"/>
              </w:rPr>
              <w:t>  第四十三条</w:t>
            </w:r>
            <w:r>
              <w:rPr>
                <w:rFonts w:hint="eastAsia" w:eastAsia="仿宋_GB2312"/>
                <w:color w:val="auto"/>
                <w:kern w:val="0"/>
                <w:sz w:val="20"/>
                <w:szCs w:val="20"/>
                <w:lang w:eastAsia="zh-CN"/>
              </w:rPr>
              <w:t>：</w:t>
            </w:r>
            <w:r>
              <w:rPr>
                <w:rFonts w:hint="default" w:eastAsia="仿宋_GB2312"/>
                <w:color w:val="auto"/>
                <w:kern w:val="0"/>
                <w:sz w:val="20"/>
                <w:szCs w:val="20"/>
              </w:rPr>
              <w:t>执法人员与案件有直接利害关系或者有其他关系可能影响公正执法的，应当回避。</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lang w:val="en-US" w:eastAsia="zh-CN"/>
              </w:rPr>
              <w:t>3</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第四十四条</w:t>
            </w:r>
            <w:r>
              <w:rPr>
                <w:rFonts w:hint="eastAsia" w:eastAsia="仿宋_GB2312"/>
                <w:color w:val="auto"/>
                <w:kern w:val="0"/>
                <w:sz w:val="20"/>
                <w:szCs w:val="20"/>
                <w:lang w:eastAsia="zh-CN"/>
              </w:rPr>
              <w:t>：</w:t>
            </w:r>
            <w:r>
              <w:rPr>
                <w:rFonts w:hint="default" w:eastAsia="仿宋_GB2312"/>
                <w:color w:val="auto"/>
                <w:kern w:val="0"/>
                <w:sz w:val="20"/>
                <w:szCs w:val="20"/>
              </w:rPr>
              <w:t>行政机关在作出行政处罚决定之前，应当告知当事人拟作出的行政处罚内容及事实、理由、依据，并告知当事人依法享有的陈述、申辩、要求听证等权利。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第五十七条</w:t>
            </w:r>
            <w:r>
              <w:rPr>
                <w:rFonts w:hint="eastAsia" w:eastAsia="仿宋_GB2312"/>
                <w:color w:val="auto"/>
                <w:kern w:val="0"/>
                <w:sz w:val="20"/>
                <w:szCs w:val="20"/>
                <w:lang w:eastAsia="zh-CN"/>
              </w:rPr>
              <w:t>：</w:t>
            </w:r>
            <w:r>
              <w:rPr>
                <w:rFonts w:hint="default" w:eastAsia="仿宋_GB2312"/>
                <w:color w:val="auto"/>
                <w:kern w:val="0"/>
                <w:sz w:val="20"/>
                <w:szCs w:val="20"/>
              </w:rPr>
              <w:t>调查终结，行政机关负责人应当对调查结果进行审查，根据不同情况，分别作出如下决定：</w:t>
            </w:r>
            <w:r>
              <w:rPr>
                <w:rFonts w:hint="default" w:eastAsia="仿宋_GB2312"/>
                <w:color w:val="auto"/>
                <w:kern w:val="0"/>
                <w:sz w:val="20"/>
                <w:szCs w:val="20"/>
              </w:rPr>
              <w:br w:type="textWrapping"/>
            </w:r>
            <w:r>
              <w:rPr>
                <w:rFonts w:hint="default" w:eastAsia="仿宋_GB2312"/>
                <w:color w:val="auto"/>
                <w:kern w:val="0"/>
                <w:sz w:val="20"/>
                <w:szCs w:val="20"/>
              </w:rPr>
              <w:t>  （一）确有应受行政处罚的违法行为的，根据情节轻重及具体情况，作出行政处罚决定；</w:t>
            </w:r>
            <w:r>
              <w:rPr>
                <w:rFonts w:hint="default" w:eastAsia="仿宋_GB2312"/>
                <w:color w:val="auto"/>
                <w:kern w:val="0"/>
                <w:sz w:val="20"/>
                <w:szCs w:val="20"/>
              </w:rPr>
              <w:br w:type="textWrapping"/>
            </w:r>
            <w:r>
              <w:rPr>
                <w:rFonts w:hint="default" w:eastAsia="仿宋_GB2312"/>
                <w:color w:val="auto"/>
                <w:kern w:val="0"/>
                <w:sz w:val="20"/>
                <w:szCs w:val="20"/>
              </w:rPr>
              <w:t>  （二）违法行为轻微，依法可以不予行政处罚的，不予行政处罚；</w:t>
            </w:r>
            <w:r>
              <w:rPr>
                <w:rFonts w:hint="default" w:eastAsia="仿宋_GB2312"/>
                <w:color w:val="auto"/>
                <w:kern w:val="0"/>
                <w:sz w:val="20"/>
                <w:szCs w:val="20"/>
              </w:rPr>
              <w:br w:type="textWrapping"/>
            </w:r>
            <w:r>
              <w:rPr>
                <w:rFonts w:hint="default" w:eastAsia="仿宋_GB2312"/>
                <w:color w:val="auto"/>
                <w:kern w:val="0"/>
                <w:sz w:val="20"/>
                <w:szCs w:val="20"/>
              </w:rPr>
              <w:t>  （三）违法事实不能成立的，不予行政处罚；</w:t>
            </w:r>
            <w:r>
              <w:rPr>
                <w:rFonts w:hint="default" w:eastAsia="仿宋_GB2312"/>
                <w:color w:val="auto"/>
                <w:kern w:val="0"/>
                <w:sz w:val="20"/>
                <w:szCs w:val="20"/>
              </w:rPr>
              <w:br w:type="textWrapping"/>
            </w:r>
            <w:r>
              <w:rPr>
                <w:rFonts w:hint="default" w:eastAsia="仿宋_GB2312"/>
                <w:color w:val="auto"/>
                <w:kern w:val="0"/>
                <w:sz w:val="20"/>
                <w:szCs w:val="20"/>
              </w:rPr>
              <w:t>  （四）违法行为涉嫌犯罪的，移送司法机关。</w:t>
            </w:r>
            <w:r>
              <w:rPr>
                <w:rFonts w:hint="default" w:eastAsia="仿宋_GB2312"/>
                <w:color w:val="auto"/>
                <w:kern w:val="0"/>
                <w:sz w:val="20"/>
                <w:szCs w:val="20"/>
              </w:rPr>
              <w:br w:type="textWrapping"/>
            </w:r>
            <w:r>
              <w:rPr>
                <w:rFonts w:hint="default" w:eastAsia="仿宋_GB2312"/>
                <w:color w:val="auto"/>
                <w:kern w:val="0"/>
                <w:sz w:val="20"/>
                <w:szCs w:val="20"/>
              </w:rPr>
              <w:t>  对情节复杂或者重大违法行为给予行政处罚，行政机关负责人应当集体讨论决定。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6650" w:hRule="atLeast"/>
        </w:trPr>
        <w:tc>
          <w:tcPr>
            <w:tcW w:w="47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26</w:t>
            </w:r>
          </w:p>
        </w:tc>
        <w:tc>
          <w:tcPr>
            <w:tcW w:w="534"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954"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报废机动车回收企业监督检查</w:t>
            </w:r>
          </w:p>
        </w:tc>
        <w:tc>
          <w:tcPr>
            <w:tcW w:w="1005"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行政法规】《报废机动车回收管理办法》（2019国务院令第715号）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在监督检查中发现报废机动车回收企业不具备本办法规定的资质认定条件的，应当责令限期改正；拒不改正或者逾期未改正的，由原发证部门吊销资质认定书。</w:t>
            </w:r>
          </w:p>
        </w:tc>
        <w:tc>
          <w:tcPr>
            <w:tcW w:w="3775"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1.选案阶段责任：根据举报或上级安排以及日常管理中发现的问题确定进行检查</w:t>
            </w:r>
            <w:r>
              <w:rPr>
                <w:rFonts w:hint="eastAsia" w:eastAsia="仿宋_GB2312"/>
                <w:color w:val="auto"/>
                <w:kern w:val="0"/>
                <w:sz w:val="20"/>
                <w:szCs w:val="20"/>
                <w:lang w:eastAsia="zh-CN"/>
              </w:rPr>
              <w:t>。</w:t>
            </w:r>
          </w:p>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eastAsia="仿宋_GB2312"/>
                <w:color w:val="auto"/>
                <w:kern w:val="0"/>
                <w:sz w:val="20"/>
                <w:szCs w:val="20"/>
                <w:lang w:eastAsia="zh-CN"/>
              </w:rPr>
              <w:t>。</w:t>
            </w:r>
          </w:p>
          <w:p>
            <w:pPr>
              <w:adjustRightInd w:val="0"/>
              <w:snapToGrid w:val="0"/>
              <w:spacing w:line="28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lang w:val="en-US" w:eastAsia="zh-CN"/>
              </w:rPr>
              <w:t>3</w:t>
            </w:r>
            <w:r>
              <w:rPr>
                <w:rFonts w:hint="eastAsia" w:eastAsia="仿宋_GB2312"/>
                <w:color w:val="auto"/>
                <w:kern w:val="0"/>
                <w:sz w:val="20"/>
                <w:szCs w:val="20"/>
              </w:rPr>
              <w:t>.告知环节责任：对违法事实、处理依据、处理意见告知，听取当事人陈述申辩</w:t>
            </w:r>
            <w:r>
              <w:rPr>
                <w:rFonts w:hint="eastAsia" w:eastAsia="仿宋_GB2312"/>
                <w:color w:val="auto"/>
                <w:kern w:val="0"/>
                <w:sz w:val="20"/>
                <w:szCs w:val="20"/>
                <w:lang w:eastAsia="zh-CN"/>
              </w:rPr>
              <w:t>。</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.决定环节责任：根据违法事实以及当事人陈述意见作出处理决定，重大案件应组织集体审议</w:t>
            </w:r>
            <w:r>
              <w:rPr>
                <w:rFonts w:hint="eastAsia" w:eastAsia="仿宋_GB2312"/>
                <w:color w:val="auto"/>
                <w:kern w:val="0"/>
                <w:sz w:val="20"/>
                <w:szCs w:val="20"/>
                <w:lang w:eastAsia="zh-CN"/>
              </w:rPr>
              <w:t>。</w:t>
            </w:r>
          </w:p>
        </w:tc>
        <w:tc>
          <w:tcPr>
            <w:tcW w:w="7578"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行政法规】《报废机动车回收管理办法》（2019年国务院令第715号）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adjustRightInd w:val="0"/>
              <w:snapToGrid w:val="0"/>
              <w:spacing w:line="280" w:lineRule="exact"/>
              <w:ind w:firstLine="400" w:firstLineChars="200"/>
              <w:rPr>
                <w:rFonts w:hint="eastAsia" w:eastAsia="仿宋_GB2312"/>
                <w:color w:val="auto"/>
                <w:kern w:val="0"/>
                <w:sz w:val="20"/>
                <w:szCs w:val="20"/>
              </w:rPr>
            </w:pPr>
            <w:r>
              <w:rPr>
                <w:rFonts w:hint="eastAsia" w:eastAsia="仿宋_GB2312"/>
                <w:color w:val="auto"/>
                <w:kern w:val="0"/>
                <w:sz w:val="20"/>
                <w:szCs w:val="20"/>
              </w:rPr>
              <w:t>2.【法律】参照《中华人民共和国行政处罚法》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第四十二条</w:t>
            </w:r>
            <w:r>
              <w:rPr>
                <w:rFonts w:hint="eastAsia" w:eastAsia="仿宋_GB2312"/>
                <w:color w:val="auto"/>
                <w:kern w:val="0"/>
                <w:sz w:val="20"/>
                <w:szCs w:val="20"/>
                <w:lang w:eastAsia="zh-CN"/>
              </w:rPr>
              <w:t>：</w:t>
            </w:r>
            <w:r>
              <w:rPr>
                <w:rFonts w:hint="default" w:eastAsia="仿宋_GB2312"/>
                <w:color w:val="auto"/>
                <w:kern w:val="0"/>
                <w:sz w:val="20"/>
                <w:szCs w:val="20"/>
              </w:rPr>
              <w:t>行政处罚应当由具有行政执法资格的执法人员实施。执法人员不得少于两人，法律另有规定的除外</w:t>
            </w:r>
            <w:r>
              <w:rPr>
                <w:rFonts w:hint="eastAsia" w:eastAsia="仿宋_GB2312"/>
                <w:color w:val="auto"/>
                <w:kern w:val="0"/>
                <w:sz w:val="20"/>
                <w:szCs w:val="20"/>
                <w:lang w:eastAsia="zh-CN"/>
              </w:rPr>
              <w:t>。</w:t>
            </w:r>
            <w:r>
              <w:rPr>
                <w:rFonts w:hint="default" w:eastAsia="仿宋_GB2312"/>
                <w:color w:val="auto"/>
                <w:kern w:val="0"/>
                <w:sz w:val="20"/>
                <w:szCs w:val="20"/>
              </w:rPr>
              <w:br w:type="textWrapping"/>
            </w:r>
            <w:r>
              <w:rPr>
                <w:rFonts w:hint="default" w:eastAsia="仿宋_GB2312"/>
                <w:color w:val="auto"/>
                <w:kern w:val="0"/>
                <w:sz w:val="20"/>
                <w:szCs w:val="20"/>
              </w:rPr>
              <w:t>  第四十三条</w:t>
            </w:r>
            <w:r>
              <w:rPr>
                <w:rFonts w:hint="eastAsia" w:eastAsia="仿宋_GB2312"/>
                <w:color w:val="auto"/>
                <w:kern w:val="0"/>
                <w:sz w:val="20"/>
                <w:szCs w:val="20"/>
                <w:lang w:eastAsia="zh-CN"/>
              </w:rPr>
              <w:t>：</w:t>
            </w:r>
            <w:r>
              <w:rPr>
                <w:rFonts w:hint="default" w:eastAsia="仿宋_GB2312"/>
                <w:color w:val="auto"/>
                <w:kern w:val="0"/>
                <w:sz w:val="20"/>
                <w:szCs w:val="20"/>
              </w:rPr>
              <w:t>执法人员与案件有直接利害关系或者有其他关系可能影响公正执法的，应当回避。</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lang w:val="en-US" w:eastAsia="zh-CN"/>
              </w:rPr>
              <w:t>3</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第四十四条</w:t>
            </w:r>
            <w:r>
              <w:rPr>
                <w:rFonts w:hint="eastAsia" w:eastAsia="仿宋_GB2312"/>
                <w:color w:val="auto"/>
                <w:kern w:val="0"/>
                <w:sz w:val="20"/>
                <w:szCs w:val="20"/>
                <w:lang w:eastAsia="zh-CN"/>
              </w:rPr>
              <w:t>：</w:t>
            </w:r>
            <w:r>
              <w:rPr>
                <w:rFonts w:hint="default" w:eastAsia="仿宋_GB2312"/>
                <w:color w:val="auto"/>
                <w:kern w:val="0"/>
                <w:sz w:val="20"/>
                <w:szCs w:val="20"/>
              </w:rPr>
              <w:t>行政机关在作出行政处罚决定之前，应当告知当事人拟作出的行政处罚内容及事实、理由、依据，并告知当事人依法享有的陈述、申辩、要求听证等权利。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第五十七条</w:t>
            </w:r>
            <w:r>
              <w:rPr>
                <w:rFonts w:hint="eastAsia" w:eastAsia="仿宋_GB2312"/>
                <w:color w:val="auto"/>
                <w:kern w:val="0"/>
                <w:sz w:val="20"/>
                <w:szCs w:val="20"/>
                <w:lang w:eastAsia="zh-CN"/>
              </w:rPr>
              <w:t>：</w:t>
            </w:r>
            <w:r>
              <w:rPr>
                <w:rFonts w:hint="default" w:eastAsia="仿宋_GB2312"/>
                <w:color w:val="auto"/>
                <w:kern w:val="0"/>
                <w:sz w:val="20"/>
                <w:szCs w:val="20"/>
              </w:rPr>
              <w:t>调查终结，行政机关负责人应当对调查结果进行审查，根据不同情况，分别作出如下决定：</w:t>
            </w:r>
            <w:r>
              <w:rPr>
                <w:rFonts w:hint="default" w:eastAsia="仿宋_GB2312"/>
                <w:color w:val="auto"/>
                <w:kern w:val="0"/>
                <w:sz w:val="20"/>
                <w:szCs w:val="20"/>
              </w:rPr>
              <w:br w:type="textWrapping"/>
            </w:r>
            <w:r>
              <w:rPr>
                <w:rFonts w:hint="default" w:eastAsia="仿宋_GB2312"/>
                <w:color w:val="auto"/>
                <w:kern w:val="0"/>
                <w:sz w:val="20"/>
                <w:szCs w:val="20"/>
              </w:rPr>
              <w:t>  （一）确有应受行政处罚的违法行为的，根据情节轻重及具体情况，作出行政处罚决定；</w:t>
            </w:r>
            <w:r>
              <w:rPr>
                <w:rFonts w:hint="default" w:eastAsia="仿宋_GB2312"/>
                <w:color w:val="auto"/>
                <w:kern w:val="0"/>
                <w:sz w:val="20"/>
                <w:szCs w:val="20"/>
              </w:rPr>
              <w:br w:type="textWrapping"/>
            </w:r>
            <w:r>
              <w:rPr>
                <w:rFonts w:hint="default" w:eastAsia="仿宋_GB2312"/>
                <w:color w:val="auto"/>
                <w:kern w:val="0"/>
                <w:sz w:val="20"/>
                <w:szCs w:val="20"/>
              </w:rPr>
              <w:t>  （二）违法行为轻微，依法可以不予行政处罚的，不予行政处罚；</w:t>
            </w:r>
            <w:r>
              <w:rPr>
                <w:rFonts w:hint="default" w:eastAsia="仿宋_GB2312"/>
                <w:color w:val="auto"/>
                <w:kern w:val="0"/>
                <w:sz w:val="20"/>
                <w:szCs w:val="20"/>
              </w:rPr>
              <w:br w:type="textWrapping"/>
            </w:r>
            <w:r>
              <w:rPr>
                <w:rFonts w:hint="default" w:eastAsia="仿宋_GB2312"/>
                <w:color w:val="auto"/>
                <w:kern w:val="0"/>
                <w:sz w:val="20"/>
                <w:szCs w:val="20"/>
              </w:rPr>
              <w:t>  （三）违法事实不能成立的，不予行政处罚；</w:t>
            </w:r>
            <w:r>
              <w:rPr>
                <w:rFonts w:hint="default" w:eastAsia="仿宋_GB2312"/>
                <w:color w:val="auto"/>
                <w:kern w:val="0"/>
                <w:sz w:val="20"/>
                <w:szCs w:val="20"/>
              </w:rPr>
              <w:br w:type="textWrapping"/>
            </w:r>
            <w:r>
              <w:rPr>
                <w:rFonts w:hint="default" w:eastAsia="仿宋_GB2312"/>
                <w:color w:val="auto"/>
                <w:kern w:val="0"/>
                <w:sz w:val="20"/>
                <w:szCs w:val="20"/>
              </w:rPr>
              <w:t>  （四）违法行为涉嫌犯罪的，移送司法机关。</w:t>
            </w:r>
            <w:r>
              <w:rPr>
                <w:rFonts w:hint="default" w:eastAsia="仿宋_GB2312"/>
                <w:color w:val="auto"/>
                <w:kern w:val="0"/>
                <w:sz w:val="20"/>
                <w:szCs w:val="20"/>
              </w:rPr>
              <w:br w:type="textWrapping"/>
            </w:r>
            <w:r>
              <w:rPr>
                <w:rFonts w:hint="default" w:eastAsia="仿宋_GB2312"/>
                <w:color w:val="auto"/>
                <w:kern w:val="0"/>
                <w:sz w:val="20"/>
                <w:szCs w:val="20"/>
              </w:rPr>
              <w:t>  对情节复杂或者重大违法行为给予行政处罚，行政机关负责人应当集体讨论决定。</w:t>
            </w:r>
          </w:p>
        </w:tc>
        <w:tc>
          <w:tcPr>
            <w:tcW w:w="1005" w:type="dxa"/>
            <w:tcBorders>
              <w:top w:val="single" w:color="auto" w:sz="4" w:space="0"/>
              <w:left w:val="nil"/>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6397"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27</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对外劳务合作监督检查</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行政法规】《对外劳务合作管理条例》（2012年国务院令第620号）第四条：县级以上地方人民政府商务主管部门负责本行政区域的对外劳务合作监督管理工作，其他有关部门在各自职责范围内负责对外劳务合作监督管理的相关工作。</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1.选案阶段责任：根据举报或上级安排以及日常管理中发现的问题确定进行检查.</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3.审查环节责任：对违法事实、证据资料、调查程序、法律适用、当事人陈述理由等进行审查，提出初步处理意见.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4.告知环节责任：对违法事实、处理依据、处理意见告知，听取当事人陈述申辩.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5.决定环节责任：根据违法事实以及当事人陈述意见作出处理决定，重大案件应组织集体审议.</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行政法规】《对外劳务合作管理条例》（2012年国务院令第620号）第四条：县级以上地方人民政府商务主管部门负责本行政区域的对外劳务合作监督管理工作，其他有关部门在各自职责范围内负责对外劳务合作监督管理的相关工作。</w:t>
            </w:r>
          </w:p>
          <w:p>
            <w:pPr>
              <w:adjustRightInd w:val="0"/>
              <w:snapToGrid w:val="0"/>
              <w:spacing w:line="280" w:lineRule="exact"/>
              <w:ind w:firstLine="400" w:firstLineChars="200"/>
              <w:rPr>
                <w:rFonts w:hint="eastAsia" w:eastAsia="仿宋_GB2312"/>
                <w:color w:val="auto"/>
                <w:kern w:val="0"/>
                <w:sz w:val="20"/>
                <w:szCs w:val="20"/>
              </w:rPr>
            </w:pPr>
            <w:r>
              <w:rPr>
                <w:rFonts w:hint="eastAsia" w:eastAsia="仿宋_GB2312"/>
                <w:color w:val="auto"/>
                <w:kern w:val="0"/>
                <w:sz w:val="20"/>
                <w:szCs w:val="20"/>
              </w:rPr>
              <w:t>2.【法律】参照《中华人民共和国行政处罚法》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第四十二条</w:t>
            </w:r>
            <w:r>
              <w:rPr>
                <w:rFonts w:hint="eastAsia" w:eastAsia="仿宋_GB2312"/>
                <w:color w:val="auto"/>
                <w:kern w:val="0"/>
                <w:sz w:val="20"/>
                <w:szCs w:val="20"/>
                <w:lang w:eastAsia="zh-CN"/>
              </w:rPr>
              <w:t>：</w:t>
            </w:r>
            <w:r>
              <w:rPr>
                <w:rFonts w:hint="default" w:eastAsia="仿宋_GB2312"/>
                <w:color w:val="auto"/>
                <w:kern w:val="0"/>
                <w:sz w:val="20"/>
                <w:szCs w:val="20"/>
              </w:rPr>
              <w:t>行政处罚应当由具有行政执法资格的执法人员实施。执法人员不得少于两人，法律另有规定的除外</w:t>
            </w:r>
            <w:r>
              <w:rPr>
                <w:rFonts w:hint="eastAsia" w:eastAsia="仿宋_GB2312"/>
                <w:color w:val="auto"/>
                <w:kern w:val="0"/>
                <w:sz w:val="20"/>
                <w:szCs w:val="20"/>
                <w:lang w:eastAsia="zh-CN"/>
              </w:rPr>
              <w:t>。</w:t>
            </w:r>
            <w:r>
              <w:rPr>
                <w:rFonts w:hint="default" w:eastAsia="仿宋_GB2312"/>
                <w:color w:val="auto"/>
                <w:kern w:val="0"/>
                <w:sz w:val="20"/>
                <w:szCs w:val="20"/>
              </w:rPr>
              <w:br w:type="textWrapping"/>
            </w:r>
            <w:r>
              <w:rPr>
                <w:rFonts w:hint="default" w:eastAsia="仿宋_GB2312"/>
                <w:color w:val="auto"/>
                <w:kern w:val="0"/>
                <w:sz w:val="20"/>
                <w:szCs w:val="20"/>
              </w:rPr>
              <w:t>  第四十三条</w:t>
            </w:r>
            <w:r>
              <w:rPr>
                <w:rFonts w:hint="eastAsia" w:eastAsia="仿宋_GB2312"/>
                <w:color w:val="auto"/>
                <w:kern w:val="0"/>
                <w:sz w:val="20"/>
                <w:szCs w:val="20"/>
                <w:lang w:eastAsia="zh-CN"/>
              </w:rPr>
              <w:t>：</w:t>
            </w:r>
            <w:r>
              <w:rPr>
                <w:rFonts w:hint="default" w:eastAsia="仿宋_GB2312"/>
                <w:color w:val="auto"/>
                <w:kern w:val="0"/>
                <w:sz w:val="20"/>
                <w:szCs w:val="20"/>
              </w:rPr>
              <w:t>执法人员与案件有直接利害关系或者有其他关系可能影响公正执法的，应当回避。</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lang w:val="en-US" w:eastAsia="zh-CN"/>
              </w:rPr>
              <w:t>3</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第四十四条</w:t>
            </w:r>
            <w:r>
              <w:rPr>
                <w:rFonts w:hint="eastAsia" w:eastAsia="仿宋_GB2312"/>
                <w:color w:val="auto"/>
                <w:kern w:val="0"/>
                <w:sz w:val="20"/>
                <w:szCs w:val="20"/>
                <w:lang w:eastAsia="zh-CN"/>
              </w:rPr>
              <w:t>：</w:t>
            </w:r>
            <w:r>
              <w:rPr>
                <w:rFonts w:hint="default" w:eastAsia="仿宋_GB2312"/>
                <w:color w:val="auto"/>
                <w:kern w:val="0"/>
                <w:sz w:val="20"/>
                <w:szCs w:val="20"/>
              </w:rPr>
              <w:t>行政机关在作出行政处罚决定之前，应当告知当事人拟作出的行政处罚内容及事实、理由、依据，并告知当事人依法享有的陈述、申辩、要求听证等权利。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第五十七条</w:t>
            </w:r>
            <w:r>
              <w:rPr>
                <w:rFonts w:hint="eastAsia" w:eastAsia="仿宋_GB2312"/>
                <w:color w:val="auto"/>
                <w:kern w:val="0"/>
                <w:sz w:val="20"/>
                <w:szCs w:val="20"/>
                <w:lang w:eastAsia="zh-CN"/>
              </w:rPr>
              <w:t>：</w:t>
            </w:r>
            <w:r>
              <w:rPr>
                <w:rFonts w:hint="default" w:eastAsia="仿宋_GB2312"/>
                <w:color w:val="auto"/>
                <w:kern w:val="0"/>
                <w:sz w:val="20"/>
                <w:szCs w:val="20"/>
              </w:rPr>
              <w:t>调查终结，行政机关负责人应当对调查结果进行审查，根据不同情况，分别作出如下决定：</w:t>
            </w:r>
            <w:r>
              <w:rPr>
                <w:rFonts w:hint="default" w:eastAsia="仿宋_GB2312"/>
                <w:color w:val="auto"/>
                <w:kern w:val="0"/>
                <w:sz w:val="20"/>
                <w:szCs w:val="20"/>
              </w:rPr>
              <w:br w:type="textWrapping"/>
            </w:r>
            <w:r>
              <w:rPr>
                <w:rFonts w:hint="default" w:eastAsia="仿宋_GB2312"/>
                <w:color w:val="auto"/>
                <w:kern w:val="0"/>
                <w:sz w:val="20"/>
                <w:szCs w:val="20"/>
              </w:rPr>
              <w:t>  （一）确有应受行政处罚的违法行为的，根据情节轻重及具体情况，作出行政处罚决定；</w:t>
            </w:r>
            <w:r>
              <w:rPr>
                <w:rFonts w:hint="default" w:eastAsia="仿宋_GB2312"/>
                <w:color w:val="auto"/>
                <w:kern w:val="0"/>
                <w:sz w:val="20"/>
                <w:szCs w:val="20"/>
              </w:rPr>
              <w:br w:type="textWrapping"/>
            </w:r>
            <w:r>
              <w:rPr>
                <w:rFonts w:hint="default" w:eastAsia="仿宋_GB2312"/>
                <w:color w:val="auto"/>
                <w:kern w:val="0"/>
                <w:sz w:val="20"/>
                <w:szCs w:val="20"/>
              </w:rPr>
              <w:t>  （二）违法行为轻微，依法可以不予行政处罚的，不予行政处罚；</w:t>
            </w:r>
            <w:r>
              <w:rPr>
                <w:rFonts w:hint="default" w:eastAsia="仿宋_GB2312"/>
                <w:color w:val="auto"/>
                <w:kern w:val="0"/>
                <w:sz w:val="20"/>
                <w:szCs w:val="20"/>
              </w:rPr>
              <w:br w:type="textWrapping"/>
            </w:r>
            <w:r>
              <w:rPr>
                <w:rFonts w:hint="default" w:eastAsia="仿宋_GB2312"/>
                <w:color w:val="auto"/>
                <w:kern w:val="0"/>
                <w:sz w:val="20"/>
                <w:szCs w:val="20"/>
              </w:rPr>
              <w:t>  （三）违法事实不能成立的，不予行政处罚；</w:t>
            </w:r>
            <w:r>
              <w:rPr>
                <w:rFonts w:hint="default" w:eastAsia="仿宋_GB2312"/>
                <w:color w:val="auto"/>
                <w:kern w:val="0"/>
                <w:sz w:val="20"/>
                <w:szCs w:val="20"/>
              </w:rPr>
              <w:br w:type="textWrapping"/>
            </w:r>
            <w:r>
              <w:rPr>
                <w:rFonts w:hint="default" w:eastAsia="仿宋_GB2312"/>
                <w:color w:val="auto"/>
                <w:kern w:val="0"/>
                <w:sz w:val="20"/>
                <w:szCs w:val="20"/>
              </w:rPr>
              <w:t>  （四）违法行为涉嫌犯罪的，移送司法机关。</w:t>
            </w:r>
            <w:r>
              <w:rPr>
                <w:rFonts w:hint="default" w:eastAsia="仿宋_GB2312"/>
                <w:color w:val="auto"/>
                <w:kern w:val="0"/>
                <w:sz w:val="20"/>
                <w:szCs w:val="20"/>
              </w:rPr>
              <w:br w:type="textWrapping"/>
            </w:r>
            <w:r>
              <w:rPr>
                <w:rFonts w:hint="default" w:eastAsia="仿宋_GB2312"/>
                <w:color w:val="auto"/>
                <w:kern w:val="0"/>
                <w:sz w:val="20"/>
                <w:szCs w:val="20"/>
              </w:rPr>
              <w:t>  对情节复杂或者重大违法行为给予行政处罚，行政机关负责人应当集体讨论决定。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5630"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28</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对餐饮行业开展反食品浪费相关行为的监督检查</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餐饮业经营管理办法（试行）》（2014年商务部、国家发展和改革委员会令第4号）第十八条：县级以上地方商务主管部门应当定期对餐饮行业开展反食品浪费相关行为进行监督检查，并给予相应奖励或处罚。</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1.选案阶段责任：根据举报或上级安排以及日常管理中发现的问题确定进行检查.</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3.审查环节责任：对违法事实、证据资料、调查程序、法律适用、当事人陈述理由等进行审查，提出初步处理意见.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4.告知环节责任：对违法事实、处理依据、处理意见告知，听取当事人陈述申辩.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5.决定环节责任：根据违法事实以及当事人陈述意见作出处理决定，重大案件应组织集体审议.</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部门规章】《餐饮业经营管理办法（试行）》（2014年商务部、国家发展和改革委员会令第4号发布）第十八条：县级以上地方商务主管部门应当定期对餐饮行业开展反食品浪费相关行为进行监督检查，并给予相应奖励或处罚。</w:t>
            </w:r>
          </w:p>
          <w:p>
            <w:pPr>
              <w:adjustRightInd w:val="0"/>
              <w:snapToGrid w:val="0"/>
              <w:spacing w:line="280" w:lineRule="exact"/>
              <w:ind w:firstLine="400" w:firstLineChars="200"/>
              <w:rPr>
                <w:rFonts w:hint="eastAsia" w:eastAsia="仿宋_GB2312"/>
                <w:color w:val="auto"/>
                <w:kern w:val="0"/>
                <w:sz w:val="20"/>
                <w:szCs w:val="20"/>
              </w:rPr>
            </w:pPr>
            <w:r>
              <w:rPr>
                <w:rFonts w:hint="eastAsia" w:eastAsia="仿宋_GB2312"/>
                <w:color w:val="auto"/>
                <w:kern w:val="0"/>
                <w:sz w:val="20"/>
                <w:szCs w:val="20"/>
              </w:rPr>
              <w:t>2.【法律】参照《中华人民共和国行政处罚法》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第四十二条</w:t>
            </w:r>
            <w:r>
              <w:rPr>
                <w:rFonts w:hint="eastAsia" w:eastAsia="仿宋_GB2312"/>
                <w:color w:val="auto"/>
                <w:kern w:val="0"/>
                <w:sz w:val="20"/>
                <w:szCs w:val="20"/>
                <w:lang w:eastAsia="zh-CN"/>
              </w:rPr>
              <w:t>：</w:t>
            </w:r>
            <w:r>
              <w:rPr>
                <w:rFonts w:hint="default" w:eastAsia="仿宋_GB2312"/>
                <w:color w:val="auto"/>
                <w:kern w:val="0"/>
                <w:sz w:val="20"/>
                <w:szCs w:val="20"/>
              </w:rPr>
              <w:t>行政处罚应当由具有行政执法资格的执法人员实施。执法人员不得少于两人，法律另有规定的除外</w:t>
            </w:r>
            <w:r>
              <w:rPr>
                <w:rFonts w:hint="eastAsia" w:eastAsia="仿宋_GB2312"/>
                <w:color w:val="auto"/>
                <w:kern w:val="0"/>
                <w:sz w:val="20"/>
                <w:szCs w:val="20"/>
                <w:lang w:eastAsia="zh-CN"/>
              </w:rPr>
              <w:t>。</w:t>
            </w:r>
            <w:r>
              <w:rPr>
                <w:rFonts w:hint="default" w:eastAsia="仿宋_GB2312"/>
                <w:color w:val="auto"/>
                <w:kern w:val="0"/>
                <w:sz w:val="20"/>
                <w:szCs w:val="20"/>
              </w:rPr>
              <w:br w:type="textWrapping"/>
            </w:r>
            <w:r>
              <w:rPr>
                <w:rFonts w:hint="default" w:eastAsia="仿宋_GB2312"/>
                <w:color w:val="auto"/>
                <w:kern w:val="0"/>
                <w:sz w:val="20"/>
                <w:szCs w:val="20"/>
              </w:rPr>
              <w:t>  第四十三条</w:t>
            </w:r>
            <w:r>
              <w:rPr>
                <w:rFonts w:hint="eastAsia" w:eastAsia="仿宋_GB2312"/>
                <w:color w:val="auto"/>
                <w:kern w:val="0"/>
                <w:sz w:val="20"/>
                <w:szCs w:val="20"/>
                <w:lang w:eastAsia="zh-CN"/>
              </w:rPr>
              <w:t>：</w:t>
            </w:r>
            <w:r>
              <w:rPr>
                <w:rFonts w:hint="default" w:eastAsia="仿宋_GB2312"/>
                <w:color w:val="auto"/>
                <w:kern w:val="0"/>
                <w:sz w:val="20"/>
                <w:szCs w:val="20"/>
              </w:rPr>
              <w:t>执法人员与案件有直接利害关系或者有其他关系可能影响公正执法的，应当回避。</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lang w:val="en-US" w:eastAsia="zh-CN"/>
              </w:rPr>
              <w:t>3</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第四十四条</w:t>
            </w:r>
            <w:r>
              <w:rPr>
                <w:rFonts w:hint="eastAsia" w:eastAsia="仿宋_GB2312"/>
                <w:color w:val="auto"/>
                <w:kern w:val="0"/>
                <w:sz w:val="20"/>
                <w:szCs w:val="20"/>
                <w:lang w:eastAsia="zh-CN"/>
              </w:rPr>
              <w:t>：</w:t>
            </w:r>
            <w:r>
              <w:rPr>
                <w:rFonts w:hint="default" w:eastAsia="仿宋_GB2312"/>
                <w:color w:val="auto"/>
                <w:kern w:val="0"/>
                <w:sz w:val="20"/>
                <w:szCs w:val="20"/>
              </w:rPr>
              <w:t>行政机关在作出行政处罚决定之前，应当告知当事人拟作出的行政处罚内容及事实、理由、依据，并告知当事人依法享有的陈述、申辩、要求听证等权利。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第五十七条</w:t>
            </w:r>
            <w:r>
              <w:rPr>
                <w:rFonts w:hint="eastAsia" w:eastAsia="仿宋_GB2312"/>
                <w:color w:val="auto"/>
                <w:kern w:val="0"/>
                <w:sz w:val="20"/>
                <w:szCs w:val="20"/>
                <w:lang w:eastAsia="zh-CN"/>
              </w:rPr>
              <w:t>：</w:t>
            </w:r>
            <w:r>
              <w:rPr>
                <w:rFonts w:hint="default" w:eastAsia="仿宋_GB2312"/>
                <w:color w:val="auto"/>
                <w:kern w:val="0"/>
                <w:sz w:val="20"/>
                <w:szCs w:val="20"/>
              </w:rPr>
              <w:t>调查终结，行政机关负责人应当对调查结果进行审查，根据不同情况，分别作出如下决定：</w:t>
            </w:r>
            <w:r>
              <w:rPr>
                <w:rFonts w:hint="default" w:eastAsia="仿宋_GB2312"/>
                <w:color w:val="auto"/>
                <w:kern w:val="0"/>
                <w:sz w:val="20"/>
                <w:szCs w:val="20"/>
              </w:rPr>
              <w:br w:type="textWrapping"/>
            </w:r>
            <w:r>
              <w:rPr>
                <w:rFonts w:hint="default" w:eastAsia="仿宋_GB2312"/>
                <w:color w:val="auto"/>
                <w:kern w:val="0"/>
                <w:sz w:val="20"/>
                <w:szCs w:val="20"/>
              </w:rPr>
              <w:t>  （一）确有应受行政处罚的违法行为的，根据情节轻重及具体情况，作出行政处罚决定；</w:t>
            </w:r>
            <w:r>
              <w:rPr>
                <w:rFonts w:hint="default" w:eastAsia="仿宋_GB2312"/>
                <w:color w:val="auto"/>
                <w:kern w:val="0"/>
                <w:sz w:val="20"/>
                <w:szCs w:val="20"/>
              </w:rPr>
              <w:br w:type="textWrapping"/>
            </w:r>
            <w:r>
              <w:rPr>
                <w:rFonts w:hint="default" w:eastAsia="仿宋_GB2312"/>
                <w:color w:val="auto"/>
                <w:kern w:val="0"/>
                <w:sz w:val="20"/>
                <w:szCs w:val="20"/>
              </w:rPr>
              <w:t>  （二）违法行为轻微，依法可以不予行政处罚的，不予行政处罚；</w:t>
            </w:r>
            <w:r>
              <w:rPr>
                <w:rFonts w:hint="default" w:eastAsia="仿宋_GB2312"/>
                <w:color w:val="auto"/>
                <w:kern w:val="0"/>
                <w:sz w:val="20"/>
                <w:szCs w:val="20"/>
              </w:rPr>
              <w:br w:type="textWrapping"/>
            </w:r>
            <w:r>
              <w:rPr>
                <w:rFonts w:hint="default" w:eastAsia="仿宋_GB2312"/>
                <w:color w:val="auto"/>
                <w:kern w:val="0"/>
                <w:sz w:val="20"/>
                <w:szCs w:val="20"/>
              </w:rPr>
              <w:t>  （三）违法事实不能成立的，不予行政处罚；</w:t>
            </w:r>
            <w:r>
              <w:rPr>
                <w:rFonts w:hint="default" w:eastAsia="仿宋_GB2312"/>
                <w:color w:val="auto"/>
                <w:kern w:val="0"/>
                <w:sz w:val="20"/>
                <w:szCs w:val="20"/>
              </w:rPr>
              <w:br w:type="textWrapping"/>
            </w:r>
            <w:r>
              <w:rPr>
                <w:rFonts w:hint="default" w:eastAsia="仿宋_GB2312"/>
                <w:color w:val="auto"/>
                <w:kern w:val="0"/>
                <w:sz w:val="20"/>
                <w:szCs w:val="20"/>
              </w:rPr>
              <w:t>  （四）违法行为涉嫌犯罪的，移送司法机关。</w:t>
            </w:r>
            <w:r>
              <w:rPr>
                <w:rFonts w:hint="default" w:eastAsia="仿宋_GB2312"/>
                <w:color w:val="auto"/>
                <w:kern w:val="0"/>
                <w:sz w:val="20"/>
                <w:szCs w:val="20"/>
              </w:rPr>
              <w:br w:type="textWrapping"/>
            </w:r>
            <w:r>
              <w:rPr>
                <w:rFonts w:hint="default" w:eastAsia="仿宋_GB2312"/>
                <w:color w:val="auto"/>
                <w:kern w:val="0"/>
                <w:sz w:val="20"/>
                <w:szCs w:val="20"/>
              </w:rPr>
              <w:t>  对情节复杂或者重大违法行为给予行政处罚，行政机关负责人应当集体讨论决定。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7054"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29</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易制毒化学品进出口监督检查</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w:t>
            </w:r>
            <w:r>
              <w:rPr>
                <w:rFonts w:eastAsia="仿宋_GB2312"/>
                <w:color w:val="auto"/>
                <w:kern w:val="0"/>
                <w:sz w:val="20"/>
                <w:szCs w:val="20"/>
              </w:rPr>
              <w:t>.</w:t>
            </w:r>
            <w:r>
              <w:rPr>
                <w:rFonts w:hint="eastAsia" w:eastAsia="仿宋_GB2312"/>
                <w:color w:val="auto"/>
                <w:kern w:val="0"/>
                <w:sz w:val="20"/>
                <w:szCs w:val="20"/>
              </w:rPr>
              <w:t>【行政法规】《易制毒化学品管理条例》(2005年国务院令第445号发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w:t>
            </w:r>
            <w:r>
              <w:rPr>
                <w:rFonts w:eastAsia="仿宋_GB2312"/>
                <w:color w:val="auto"/>
                <w:kern w:val="0"/>
                <w:sz w:val="20"/>
                <w:szCs w:val="20"/>
              </w:rPr>
              <w:t>.</w:t>
            </w:r>
            <w:r>
              <w:rPr>
                <w:rFonts w:hint="eastAsia" w:eastAsia="仿宋_GB2312"/>
                <w:color w:val="auto"/>
                <w:kern w:val="0"/>
                <w:sz w:val="20"/>
                <w:szCs w:val="20"/>
              </w:rPr>
              <w:t>【部门规章】《易制毒化学品进出口管理规定》（2006年商务部令第7号, 2015年商务部令第2号修订）第四条：县级以上商务主管部门负责本地区易制毒化学品进出口监督检查工作。</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第四十一条：县级以上商务主管部门应当按照本规定和其他有关法律、法规规定，严格履行对本地区易制毒化学品进出口的监督检查职责，依法查处违法行为。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第四十二条：县级以上商务主管部门对经营者进行监督检查时，可以依法查看现场、查阅和复制有关资料、记录有关情况、扣押相关的证据材料和物品；必要时，可以临时查封有关场所。</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1.选案阶段责任：根据举报或上级安排以及日常管理中发现的问题确定进行检查.</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3.审查环节责任：对违法事实、证据资料、调查程序、法律适用、当事人陈述理由等进行审查，提出初步处理意见.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4.告知环节责任：对违法事实、处理依据、处理意见告知，听取当事人陈述申辩.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5.决定环节责任：根据违法事实以及当事人陈述意见作出处理决定，重大案件应组织集体审议.</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行政法规】《易制毒化学品管理条例》(2005年国务院令第445号发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w:t>
            </w:r>
          </w:p>
          <w:p>
            <w:pPr>
              <w:adjustRightInd w:val="0"/>
              <w:snapToGrid w:val="0"/>
              <w:spacing w:line="280" w:lineRule="exact"/>
              <w:ind w:firstLine="400" w:firstLineChars="200"/>
              <w:rPr>
                <w:rFonts w:hint="eastAsia" w:eastAsia="仿宋_GB2312"/>
                <w:color w:val="auto"/>
                <w:kern w:val="0"/>
                <w:sz w:val="20"/>
                <w:szCs w:val="20"/>
              </w:rPr>
            </w:pPr>
            <w:r>
              <w:rPr>
                <w:rFonts w:hint="eastAsia" w:eastAsia="仿宋_GB2312"/>
                <w:color w:val="auto"/>
                <w:kern w:val="0"/>
                <w:sz w:val="20"/>
                <w:szCs w:val="20"/>
              </w:rPr>
              <w:t>2.【法律】参照《中华人民共和国行政处罚法》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第四十二条</w:t>
            </w:r>
            <w:r>
              <w:rPr>
                <w:rFonts w:hint="eastAsia" w:eastAsia="仿宋_GB2312"/>
                <w:color w:val="auto"/>
                <w:kern w:val="0"/>
                <w:sz w:val="20"/>
                <w:szCs w:val="20"/>
                <w:lang w:eastAsia="zh-CN"/>
              </w:rPr>
              <w:t>：</w:t>
            </w:r>
            <w:r>
              <w:rPr>
                <w:rFonts w:hint="default" w:eastAsia="仿宋_GB2312"/>
                <w:color w:val="auto"/>
                <w:kern w:val="0"/>
                <w:sz w:val="20"/>
                <w:szCs w:val="20"/>
              </w:rPr>
              <w:t>行政处罚应当由具有行政执法资格的执法人员实施。执法人员不得少于两人，法律另有规定的除外</w:t>
            </w:r>
            <w:r>
              <w:rPr>
                <w:rFonts w:hint="eastAsia" w:eastAsia="仿宋_GB2312"/>
                <w:color w:val="auto"/>
                <w:kern w:val="0"/>
                <w:sz w:val="20"/>
                <w:szCs w:val="20"/>
                <w:lang w:eastAsia="zh-CN"/>
              </w:rPr>
              <w:t>。</w:t>
            </w:r>
            <w:r>
              <w:rPr>
                <w:rFonts w:hint="default" w:eastAsia="仿宋_GB2312"/>
                <w:color w:val="auto"/>
                <w:kern w:val="0"/>
                <w:sz w:val="20"/>
                <w:szCs w:val="20"/>
              </w:rPr>
              <w:br w:type="textWrapping"/>
            </w:r>
            <w:r>
              <w:rPr>
                <w:rFonts w:hint="default" w:eastAsia="仿宋_GB2312"/>
                <w:color w:val="auto"/>
                <w:kern w:val="0"/>
                <w:sz w:val="20"/>
                <w:szCs w:val="20"/>
              </w:rPr>
              <w:t>  第四十三条</w:t>
            </w:r>
            <w:r>
              <w:rPr>
                <w:rFonts w:hint="eastAsia" w:eastAsia="仿宋_GB2312"/>
                <w:color w:val="auto"/>
                <w:kern w:val="0"/>
                <w:sz w:val="20"/>
                <w:szCs w:val="20"/>
                <w:lang w:eastAsia="zh-CN"/>
              </w:rPr>
              <w:t>：</w:t>
            </w:r>
            <w:r>
              <w:rPr>
                <w:rFonts w:hint="default" w:eastAsia="仿宋_GB2312"/>
                <w:color w:val="auto"/>
                <w:kern w:val="0"/>
                <w:sz w:val="20"/>
                <w:szCs w:val="20"/>
              </w:rPr>
              <w:t>执法人员与案件有直接利害关系或者有其他关系可能影响公正执法的，应当回避。</w:t>
            </w:r>
          </w:p>
          <w:p>
            <w:pPr>
              <w:adjustRightInd w:val="0"/>
              <w:snapToGrid w:val="0"/>
              <w:spacing w:line="300" w:lineRule="exact"/>
              <w:ind w:firstLine="400" w:firstLineChars="200"/>
              <w:rPr>
                <w:rFonts w:hint="eastAsia" w:eastAsia="仿宋_GB2312"/>
                <w:color w:val="auto"/>
                <w:kern w:val="0"/>
                <w:sz w:val="20"/>
                <w:szCs w:val="20"/>
              </w:rPr>
            </w:pPr>
            <w:r>
              <w:rPr>
                <w:rFonts w:hint="eastAsia" w:eastAsia="仿宋_GB2312"/>
                <w:color w:val="auto"/>
                <w:kern w:val="0"/>
                <w:sz w:val="20"/>
                <w:szCs w:val="20"/>
                <w:lang w:val="en-US" w:eastAsia="zh-CN"/>
              </w:rPr>
              <w:t>3</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第四十四条</w:t>
            </w:r>
            <w:r>
              <w:rPr>
                <w:rFonts w:hint="eastAsia" w:eastAsia="仿宋_GB2312"/>
                <w:color w:val="auto"/>
                <w:kern w:val="0"/>
                <w:sz w:val="20"/>
                <w:szCs w:val="20"/>
                <w:lang w:eastAsia="zh-CN"/>
              </w:rPr>
              <w:t>：</w:t>
            </w:r>
            <w:r>
              <w:rPr>
                <w:rFonts w:hint="default" w:eastAsia="仿宋_GB2312"/>
                <w:color w:val="auto"/>
                <w:kern w:val="0"/>
                <w:sz w:val="20"/>
                <w:szCs w:val="20"/>
              </w:rPr>
              <w:t>行政机关在作出行政处罚决定之前，应当告知当事人拟作出的行政处罚内容及事实、理由、依据，并告知当事人依法享有的陈述、申辩、要求听证等权利。</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lang w:val="en-US" w:eastAsia="zh-CN"/>
              </w:rPr>
              <w:t>4</w:t>
            </w:r>
            <w:r>
              <w:rPr>
                <w:rFonts w:hint="eastAsia" w:eastAsia="仿宋_GB2312"/>
                <w:color w:val="auto"/>
                <w:kern w:val="0"/>
                <w:sz w:val="20"/>
                <w:szCs w:val="20"/>
              </w:rPr>
              <w:t>.【法律】参照《中华人民共和国行政处罚法》</w:t>
            </w:r>
            <w:r>
              <w:rPr>
                <w:rFonts w:hint="eastAsia" w:eastAsia="仿宋_GB2312"/>
                <w:color w:val="auto"/>
                <w:kern w:val="0"/>
                <w:sz w:val="20"/>
                <w:szCs w:val="20"/>
                <w:lang w:eastAsia="zh-CN"/>
              </w:rPr>
              <w:t>（</w:t>
            </w:r>
            <w:r>
              <w:rPr>
                <w:rFonts w:hint="eastAsia" w:eastAsia="仿宋_GB2312"/>
                <w:color w:val="auto"/>
                <w:kern w:val="0"/>
                <w:sz w:val="20"/>
                <w:szCs w:val="20"/>
                <w:lang w:val="en-US" w:eastAsia="zh-CN"/>
              </w:rPr>
              <w:t>2021年修正</w:t>
            </w:r>
            <w:r>
              <w:rPr>
                <w:rFonts w:hint="eastAsia" w:eastAsia="仿宋_GB2312"/>
                <w:color w:val="auto"/>
                <w:kern w:val="0"/>
                <w:sz w:val="20"/>
                <w:szCs w:val="20"/>
                <w:lang w:eastAsia="zh-CN"/>
              </w:rPr>
              <w:t>）</w:t>
            </w:r>
            <w:r>
              <w:rPr>
                <w:rFonts w:hint="default" w:eastAsia="仿宋_GB2312"/>
                <w:color w:val="auto"/>
                <w:kern w:val="0"/>
                <w:sz w:val="20"/>
                <w:szCs w:val="20"/>
              </w:rPr>
              <w:t>第五十七条</w:t>
            </w:r>
            <w:r>
              <w:rPr>
                <w:rFonts w:hint="eastAsia" w:eastAsia="仿宋_GB2312"/>
                <w:color w:val="auto"/>
                <w:kern w:val="0"/>
                <w:sz w:val="20"/>
                <w:szCs w:val="20"/>
                <w:lang w:eastAsia="zh-CN"/>
              </w:rPr>
              <w:t>：</w:t>
            </w:r>
            <w:r>
              <w:rPr>
                <w:rFonts w:hint="default" w:eastAsia="仿宋_GB2312"/>
                <w:color w:val="auto"/>
                <w:kern w:val="0"/>
                <w:sz w:val="20"/>
                <w:szCs w:val="20"/>
              </w:rPr>
              <w:t>调查终结，行政机关负责人应当对调查结果进行审查，根据不同情况，分别作出如下决定：</w:t>
            </w:r>
            <w:r>
              <w:rPr>
                <w:rFonts w:hint="default" w:eastAsia="仿宋_GB2312"/>
                <w:color w:val="auto"/>
                <w:kern w:val="0"/>
                <w:sz w:val="20"/>
                <w:szCs w:val="20"/>
              </w:rPr>
              <w:br w:type="textWrapping"/>
            </w:r>
            <w:r>
              <w:rPr>
                <w:rFonts w:hint="default" w:eastAsia="仿宋_GB2312"/>
                <w:color w:val="auto"/>
                <w:kern w:val="0"/>
                <w:sz w:val="20"/>
                <w:szCs w:val="20"/>
              </w:rPr>
              <w:t>  （一）确有应受行政处罚的违法行为的，根据情节轻重及具体情况，作出行政处罚决定；</w:t>
            </w:r>
            <w:r>
              <w:rPr>
                <w:rFonts w:hint="default" w:eastAsia="仿宋_GB2312"/>
                <w:color w:val="auto"/>
                <w:kern w:val="0"/>
                <w:sz w:val="20"/>
                <w:szCs w:val="20"/>
              </w:rPr>
              <w:br w:type="textWrapping"/>
            </w:r>
            <w:r>
              <w:rPr>
                <w:rFonts w:hint="default" w:eastAsia="仿宋_GB2312"/>
                <w:color w:val="auto"/>
                <w:kern w:val="0"/>
                <w:sz w:val="20"/>
                <w:szCs w:val="20"/>
              </w:rPr>
              <w:t>  （二）违法行为轻微，依法可以不予行政处罚的，不予行政处罚；</w:t>
            </w:r>
            <w:r>
              <w:rPr>
                <w:rFonts w:hint="default" w:eastAsia="仿宋_GB2312"/>
                <w:color w:val="auto"/>
                <w:kern w:val="0"/>
                <w:sz w:val="20"/>
                <w:szCs w:val="20"/>
              </w:rPr>
              <w:br w:type="textWrapping"/>
            </w:r>
            <w:r>
              <w:rPr>
                <w:rFonts w:hint="default" w:eastAsia="仿宋_GB2312"/>
                <w:color w:val="auto"/>
                <w:kern w:val="0"/>
                <w:sz w:val="20"/>
                <w:szCs w:val="20"/>
              </w:rPr>
              <w:t>  （三）违法事实不能成立的，不予行政处罚；</w:t>
            </w:r>
            <w:r>
              <w:rPr>
                <w:rFonts w:hint="default" w:eastAsia="仿宋_GB2312"/>
                <w:color w:val="auto"/>
                <w:kern w:val="0"/>
                <w:sz w:val="20"/>
                <w:szCs w:val="20"/>
              </w:rPr>
              <w:br w:type="textWrapping"/>
            </w:r>
            <w:r>
              <w:rPr>
                <w:rFonts w:hint="default" w:eastAsia="仿宋_GB2312"/>
                <w:color w:val="auto"/>
                <w:kern w:val="0"/>
                <w:sz w:val="20"/>
                <w:szCs w:val="20"/>
              </w:rPr>
              <w:t>  （四）违法行为涉嫌犯罪的，移送司法机关。</w:t>
            </w:r>
            <w:r>
              <w:rPr>
                <w:rFonts w:hint="default" w:eastAsia="仿宋_GB2312"/>
                <w:color w:val="auto"/>
                <w:kern w:val="0"/>
                <w:sz w:val="20"/>
                <w:szCs w:val="20"/>
              </w:rPr>
              <w:br w:type="textWrapping"/>
            </w:r>
            <w:r>
              <w:rPr>
                <w:rFonts w:hint="default" w:eastAsia="仿宋_GB2312"/>
                <w:color w:val="auto"/>
                <w:kern w:val="0"/>
                <w:sz w:val="20"/>
                <w:szCs w:val="20"/>
              </w:rPr>
              <w:t>  对情节复杂或者重大违法行为给予行政处罚，行政机关负责人应当集体讨论决定。</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4385"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30</w:t>
            </w:r>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行政奖励</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对参加生活必需品市场异常波动应急处理作出贡献的单位和人员的奖励</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【部门规章】《生活必需品市场供应应急管理办法》（2011年商务部令第4号）第七条：县级以上商务主管部门，可对参加市场异常波动应急处理作出贡献的单位和人员，给予表彰和奖励。</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1.前期阶段责任：收集整理在参加生活必需品市场异常波动应急处理工作中作出贡献的组织或者个人相关材料，及时呈报处理。</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2.审查阶段责任：审查材料的真伪及作用，提出审查意见。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3.决定阶段责任：决定是否对在生活必需品市场异常波动应急处理作出贡献组织或者个人的奖励标准和方式。</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4.执行阶段责任：兑现奖励。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5.其他法律法规规章文件规定应履行的责任。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1.【部门规章】《生活必需品市场供应应急管理办法》（2011年商务部令第4号）第七条：县级以上商务主管部门，可对参加市场异常波动应急处理作出贡献的单位和人员，给予表彰和奖励。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2.同1.</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3.同1.</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4.同1.</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r>
      <w:tr>
        <w:tblPrEx>
          <w:tblCellMar>
            <w:top w:w="0" w:type="dxa"/>
            <w:left w:w="108" w:type="dxa"/>
            <w:bottom w:w="0" w:type="dxa"/>
            <w:right w:w="108" w:type="dxa"/>
          </w:tblCellMar>
        </w:tblPrEx>
        <w:trPr>
          <w:cantSplit/>
          <w:trHeight w:val="12673" w:hRule="atLeast"/>
        </w:trPr>
        <w:tc>
          <w:tcPr>
            <w:tcW w:w="47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hint="default" w:eastAsia="仿宋_GB2312"/>
                <w:color w:val="auto"/>
                <w:kern w:val="0"/>
                <w:sz w:val="20"/>
                <w:szCs w:val="20"/>
                <w:lang w:val="en-US" w:eastAsia="zh-CN"/>
              </w:rPr>
            </w:pPr>
            <w:r>
              <w:rPr>
                <w:rFonts w:hint="eastAsia" w:eastAsia="仿宋_GB2312"/>
                <w:color w:val="auto"/>
                <w:kern w:val="0"/>
                <w:sz w:val="20"/>
                <w:szCs w:val="20"/>
                <w:lang w:val="en-US" w:eastAsia="zh-CN"/>
              </w:rPr>
              <w:t>31</w:t>
            </w:r>
            <w:bookmarkStart w:id="0" w:name="_GoBack"/>
            <w:bookmarkEnd w:id="0"/>
          </w:p>
        </w:tc>
        <w:tc>
          <w:tcPr>
            <w:tcW w:w="53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其他行政权力</w:t>
            </w:r>
          </w:p>
        </w:tc>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hint="eastAsia" w:eastAsia="仿宋_GB2312" w:cs="宋体"/>
                <w:color w:val="auto"/>
                <w:kern w:val="0"/>
                <w:sz w:val="20"/>
                <w:szCs w:val="20"/>
                <w:lang w:eastAsia="zh-CN"/>
              </w:rPr>
            </w:pPr>
            <w:r>
              <w:rPr>
                <w:rFonts w:hint="eastAsia" w:eastAsia="仿宋_GB2312" w:cs="宋体"/>
                <w:color w:val="auto"/>
                <w:kern w:val="0"/>
                <w:sz w:val="20"/>
                <w:szCs w:val="20"/>
              </w:rPr>
              <w:t>单用途商业预付卡规模发卡企业备案</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eastAsia="仿宋_GB2312"/>
                <w:color w:val="auto"/>
                <w:kern w:val="0"/>
                <w:sz w:val="20"/>
                <w:szCs w:val="20"/>
              </w:rPr>
            </w:pPr>
            <w:r>
              <w:rPr>
                <w:rFonts w:hint="eastAsia" w:eastAsia="仿宋_GB2312"/>
                <w:color w:val="auto"/>
                <w:kern w:val="0"/>
                <w:sz w:val="20"/>
                <w:szCs w:val="20"/>
              </w:rPr>
              <w:t>　</w:t>
            </w:r>
          </w:p>
        </w:tc>
        <w:tc>
          <w:tcPr>
            <w:tcW w:w="114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hint="eastAsia" w:eastAsia="仿宋_GB2312" w:cs="宋体"/>
                <w:color w:val="auto"/>
                <w:kern w:val="0"/>
                <w:sz w:val="20"/>
                <w:szCs w:val="20"/>
                <w:lang w:eastAsia="zh-CN"/>
              </w:rPr>
            </w:pPr>
            <w:r>
              <w:rPr>
                <w:rFonts w:hint="eastAsia" w:eastAsia="仿宋_GB2312" w:cs="宋体"/>
                <w:color w:val="auto"/>
                <w:kern w:val="0"/>
                <w:sz w:val="20"/>
                <w:szCs w:val="20"/>
              </w:rPr>
              <w:t>市、县级</w:t>
            </w:r>
          </w:p>
        </w:tc>
        <w:tc>
          <w:tcPr>
            <w:tcW w:w="50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【部门规章】《单用途商业预付卡管理办法（试行）》（2012年商务部令第9号公布，2016年商务部令第2号修正）第七条：发卡企业应在开展单用途卡业务之日起3</w:t>
            </w:r>
            <w:r>
              <w:rPr>
                <w:rFonts w:hint="eastAsia" w:eastAsia="仿宋_GB2312"/>
                <w:color w:val="auto"/>
                <w:kern w:val="0"/>
                <w:sz w:val="20"/>
                <w:szCs w:val="20"/>
                <w:lang w:val="en-US" w:eastAsia="zh-CN"/>
              </w:rPr>
              <w:t>0</w:t>
            </w:r>
            <w:r>
              <w:rPr>
                <w:rFonts w:hint="eastAsia" w:eastAsia="仿宋_GB2312"/>
                <w:color w:val="auto"/>
                <w:kern w:val="0"/>
                <w:sz w:val="20"/>
                <w:szCs w:val="20"/>
              </w:rPr>
              <w:t>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tc>
        <w:tc>
          <w:tcPr>
            <w:tcW w:w="377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1.受理阶段责任：依法受理；不予受理的书面告知理由；一次性告知补正材料。</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2.审查阶段责任：对初审材料进行审核，提出初审意见。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3.备案阶段责任：企业提交的备案材料齐全，准予备案；不符合的，不予备案并书面告知企业。</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4.信息公开责任：定期公告已备案企业名录。</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5.其他法律法规规章文件规定应履行的责任。</w:t>
            </w:r>
          </w:p>
        </w:tc>
        <w:tc>
          <w:tcPr>
            <w:tcW w:w="7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3.【部门规章】《单用途商业预付卡管理办法（试行）》（2012年商务部令第9号公布，2016年商务部令第2号修正）第八条：发卡企业应向备案机关提交下列材料：</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（一）《单用途卡发卡企业备案表》；</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（二）《企业法人营业执照》（副本）复印件；</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发卡企业为外商投资企业的，还应提交外商投资企业批准证书复印件。</w:t>
            </w:r>
          </w:p>
          <w:p>
            <w:pPr>
              <w:adjustRightInd w:val="0"/>
              <w:snapToGrid w:val="0"/>
              <w:spacing w:line="300" w:lineRule="exact"/>
              <w:ind w:firstLine="400" w:firstLineChars="200"/>
              <w:rPr>
                <w:rFonts w:hint="eastAsia" w:eastAsia="仿宋_GB2312"/>
                <w:color w:val="auto"/>
                <w:kern w:val="0"/>
                <w:sz w:val="20"/>
                <w:szCs w:val="20"/>
                <w:lang w:eastAsia="zh-CN"/>
              </w:rPr>
            </w:pPr>
            <w:r>
              <w:rPr>
                <w:rFonts w:hint="eastAsia" w:eastAsia="仿宋_GB2312"/>
                <w:color w:val="auto"/>
                <w:kern w:val="0"/>
                <w:sz w:val="20"/>
                <w:szCs w:val="20"/>
              </w:rPr>
              <w:t>4.【部门规章】《单用途商业预付卡管理办法（试行）》（2012年商务部令第9号公布，2016年商务部令第2号修正）第十一条：备案机关对已备案的发卡企业予以编号，并在商务部和备案机关指定的媒体上公告，提供公众查询服务。</w:t>
            </w:r>
          </w:p>
        </w:tc>
        <w:tc>
          <w:tcPr>
            <w:tcW w:w="1005"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spacing w:line="300" w:lineRule="exact"/>
              <w:rPr>
                <w:rFonts w:hint="eastAsia" w:eastAsia="仿宋_GB2312"/>
                <w:color w:val="auto"/>
                <w:kern w:val="0"/>
                <w:sz w:val="20"/>
                <w:szCs w:val="20"/>
                <w:lang w:eastAsia="zh-CN"/>
              </w:rPr>
            </w:pPr>
            <w:r>
              <w:rPr>
                <w:rFonts w:hint="eastAsia" w:eastAsia="仿宋_GB2312"/>
                <w:color w:val="auto"/>
                <w:kern w:val="0"/>
                <w:sz w:val="20"/>
                <w:szCs w:val="20"/>
              </w:rPr>
              <w:t>　</w:t>
            </w:r>
          </w:p>
        </w:tc>
      </w:tr>
    </w:tbl>
    <w:p>
      <w:pPr>
        <w:adjustRightInd w:val="0"/>
        <w:snapToGrid w:val="0"/>
        <w:spacing w:line="570" w:lineRule="exact"/>
        <w:rPr>
          <w:rFonts w:eastAsia="仿宋_GB2312"/>
          <w:snapToGrid w:val="0"/>
          <w:color w:val="auto"/>
          <w:sz w:val="32"/>
          <w:szCs w:val="32"/>
        </w:rPr>
      </w:pPr>
    </w:p>
    <w:p>
      <w:pPr>
        <w:rPr>
          <w:color w:val="auto"/>
        </w:rPr>
      </w:pPr>
    </w:p>
    <w:sectPr>
      <w:pgSz w:w="23814" w:h="16839" w:orient="landscape"/>
      <w:pgMar w:top="703" w:right="1800" w:bottom="70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482F"/>
    <w:rsid w:val="00143D52"/>
    <w:rsid w:val="00206903"/>
    <w:rsid w:val="002E48D6"/>
    <w:rsid w:val="00314DF8"/>
    <w:rsid w:val="003233E4"/>
    <w:rsid w:val="003426DD"/>
    <w:rsid w:val="006D57D8"/>
    <w:rsid w:val="0099653C"/>
    <w:rsid w:val="00A7482F"/>
    <w:rsid w:val="00D75199"/>
    <w:rsid w:val="00DC5F8E"/>
    <w:rsid w:val="00E7250D"/>
    <w:rsid w:val="00EA0FFB"/>
    <w:rsid w:val="033FB38A"/>
    <w:rsid w:val="09FC773F"/>
    <w:rsid w:val="0A3B1E24"/>
    <w:rsid w:val="12D80519"/>
    <w:rsid w:val="1BD74A6C"/>
    <w:rsid w:val="1D7FBD77"/>
    <w:rsid w:val="1FC3408B"/>
    <w:rsid w:val="2BBFEC68"/>
    <w:rsid w:val="2CADCDAC"/>
    <w:rsid w:val="2CEFFD30"/>
    <w:rsid w:val="2D7BF51F"/>
    <w:rsid w:val="2DFE1B1B"/>
    <w:rsid w:val="2DFF4537"/>
    <w:rsid w:val="2E050BDB"/>
    <w:rsid w:val="2FD79C63"/>
    <w:rsid w:val="2FFFC11E"/>
    <w:rsid w:val="33F5EDA4"/>
    <w:rsid w:val="36EE43C7"/>
    <w:rsid w:val="37BBC561"/>
    <w:rsid w:val="39D78337"/>
    <w:rsid w:val="3BB5AEFF"/>
    <w:rsid w:val="3C3EC02C"/>
    <w:rsid w:val="3CE7AE20"/>
    <w:rsid w:val="3E5F328A"/>
    <w:rsid w:val="3EDA0F48"/>
    <w:rsid w:val="3EFE0062"/>
    <w:rsid w:val="3FFB2687"/>
    <w:rsid w:val="3FFF258E"/>
    <w:rsid w:val="45E989CF"/>
    <w:rsid w:val="4FCD7836"/>
    <w:rsid w:val="5B97432E"/>
    <w:rsid w:val="5EBB0DEA"/>
    <w:rsid w:val="5F3F5AB2"/>
    <w:rsid w:val="5F77A1BA"/>
    <w:rsid w:val="5FBD228C"/>
    <w:rsid w:val="5FCF96F3"/>
    <w:rsid w:val="5FF1A438"/>
    <w:rsid w:val="63FBDC0C"/>
    <w:rsid w:val="67EB7765"/>
    <w:rsid w:val="67FB39C6"/>
    <w:rsid w:val="69C7E19C"/>
    <w:rsid w:val="6AEF3730"/>
    <w:rsid w:val="6BDF67BD"/>
    <w:rsid w:val="6DFD50B2"/>
    <w:rsid w:val="6DFFEA57"/>
    <w:rsid w:val="6EA7A921"/>
    <w:rsid w:val="6F6FCBAF"/>
    <w:rsid w:val="6F9D7A6D"/>
    <w:rsid w:val="6FF7B423"/>
    <w:rsid w:val="6FFF0A2B"/>
    <w:rsid w:val="6FFF3A21"/>
    <w:rsid w:val="71FE52F1"/>
    <w:rsid w:val="7267348B"/>
    <w:rsid w:val="755F2B3E"/>
    <w:rsid w:val="76EDDF61"/>
    <w:rsid w:val="76FDB482"/>
    <w:rsid w:val="7775BF29"/>
    <w:rsid w:val="79BE04DD"/>
    <w:rsid w:val="79E627C8"/>
    <w:rsid w:val="79FC5627"/>
    <w:rsid w:val="7B3CAA0A"/>
    <w:rsid w:val="7BD60319"/>
    <w:rsid w:val="7BEED320"/>
    <w:rsid w:val="7BFC1797"/>
    <w:rsid w:val="7BFF93C2"/>
    <w:rsid w:val="7C7E3781"/>
    <w:rsid w:val="7DB9CA78"/>
    <w:rsid w:val="7DE1F59D"/>
    <w:rsid w:val="7DF67C93"/>
    <w:rsid w:val="7EBB13E5"/>
    <w:rsid w:val="7EBB7C48"/>
    <w:rsid w:val="7EDA46C4"/>
    <w:rsid w:val="7EFD7F7D"/>
    <w:rsid w:val="7F398001"/>
    <w:rsid w:val="7F6BF1F9"/>
    <w:rsid w:val="7F7D5C7F"/>
    <w:rsid w:val="7F8F04A9"/>
    <w:rsid w:val="7F93F2CD"/>
    <w:rsid w:val="7FAE5A9B"/>
    <w:rsid w:val="7FC450CB"/>
    <w:rsid w:val="7FE65410"/>
    <w:rsid w:val="7FEF660E"/>
    <w:rsid w:val="7FEF9A0B"/>
    <w:rsid w:val="7FFC9093"/>
    <w:rsid w:val="7FFCD2F5"/>
    <w:rsid w:val="7FFF4A6E"/>
    <w:rsid w:val="7FFFBB1E"/>
    <w:rsid w:val="7FFFC771"/>
    <w:rsid w:val="7FFFF78A"/>
    <w:rsid w:val="8BD72582"/>
    <w:rsid w:val="9D9B7895"/>
    <w:rsid w:val="9DED2EF0"/>
    <w:rsid w:val="AD7EB236"/>
    <w:rsid w:val="AEC5C3D6"/>
    <w:rsid w:val="BB77D2B5"/>
    <w:rsid w:val="BF6350C3"/>
    <w:rsid w:val="BFB7B8E7"/>
    <w:rsid w:val="BFBE108C"/>
    <w:rsid w:val="BFFBEE92"/>
    <w:rsid w:val="C1F78A93"/>
    <w:rsid w:val="C3FBA083"/>
    <w:rsid w:val="C67CF2E7"/>
    <w:rsid w:val="C9F9FE2D"/>
    <w:rsid w:val="D7D7A91B"/>
    <w:rsid w:val="DBEF8027"/>
    <w:rsid w:val="DBFB1B03"/>
    <w:rsid w:val="DDF8904D"/>
    <w:rsid w:val="DE6E4B18"/>
    <w:rsid w:val="DECE4DC4"/>
    <w:rsid w:val="DF37F7ED"/>
    <w:rsid w:val="DFFB3EE5"/>
    <w:rsid w:val="DFFB8CCF"/>
    <w:rsid w:val="DFFBC59C"/>
    <w:rsid w:val="DFFF068D"/>
    <w:rsid w:val="E4CE2666"/>
    <w:rsid w:val="E97316F6"/>
    <w:rsid w:val="ED39503F"/>
    <w:rsid w:val="EDB0ACD7"/>
    <w:rsid w:val="EE777450"/>
    <w:rsid w:val="EEFB7D4C"/>
    <w:rsid w:val="EEFFC511"/>
    <w:rsid w:val="EF7F0C7F"/>
    <w:rsid w:val="F5B783B9"/>
    <w:rsid w:val="F5BBD49B"/>
    <w:rsid w:val="F6E13760"/>
    <w:rsid w:val="F6FFFA75"/>
    <w:rsid w:val="F7CDAE11"/>
    <w:rsid w:val="F7F7D644"/>
    <w:rsid w:val="F7FD1690"/>
    <w:rsid w:val="F9975FA2"/>
    <w:rsid w:val="F9D78A5B"/>
    <w:rsid w:val="FA7B22BD"/>
    <w:rsid w:val="FADA9738"/>
    <w:rsid w:val="FAFD2348"/>
    <w:rsid w:val="FB77FE48"/>
    <w:rsid w:val="FB8E66E3"/>
    <w:rsid w:val="FB9E79EA"/>
    <w:rsid w:val="FB9EC5A4"/>
    <w:rsid w:val="FD3DE1FA"/>
    <w:rsid w:val="FDFFA506"/>
    <w:rsid w:val="FEC7D06C"/>
    <w:rsid w:val="FF754827"/>
    <w:rsid w:val="FF96EB1C"/>
    <w:rsid w:val="FFBD8BD1"/>
    <w:rsid w:val="FFBFC74C"/>
    <w:rsid w:val="FFC56734"/>
    <w:rsid w:val="FFE74173"/>
    <w:rsid w:val="FFFB3850"/>
    <w:rsid w:val="FFFD49A9"/>
    <w:rsid w:val="FFFF7150"/>
    <w:rsid w:val="FFFFE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qFormat/>
    <w:uiPriority w:val="0"/>
    <w:rPr>
      <w:color w:val="0563C1"/>
      <w:u w:val="single"/>
    </w:rPr>
  </w:style>
  <w:style w:type="character" w:customStyle="1" w:styleId="8">
    <w:name w:val="font51"/>
    <w:qFormat/>
    <w:uiPriority w:val="0"/>
    <w:rPr>
      <w:rFonts w:hint="default" w:ascii="Times New Roman" w:hAnsi="Times New Roman" w:cs="Times New Roman"/>
      <w:color w:val="000000"/>
      <w:sz w:val="20"/>
      <w:szCs w:val="20"/>
      <w:u w:val="non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font81"/>
    <w:qFormat/>
    <w:uiPriority w:val="0"/>
    <w:rPr>
      <w:rFonts w:hint="default" w:ascii="Times New Roman" w:hAnsi="Times New Roman" w:cs="Times New Roman"/>
      <w:b/>
      <w:color w:val="000000"/>
      <w:sz w:val="20"/>
      <w:szCs w:val="20"/>
      <w:u w:val="none"/>
    </w:rPr>
  </w:style>
  <w:style w:type="character" w:customStyle="1" w:styleId="11">
    <w:name w:val="font91"/>
    <w:qFormat/>
    <w:uiPriority w:val="0"/>
    <w:rPr>
      <w:rFonts w:hint="eastAsia" w:ascii="宋体" w:hAnsi="宋体" w:eastAsia="宋体" w:cs="宋体"/>
      <w:color w:val="000000"/>
      <w:sz w:val="20"/>
      <w:szCs w:val="20"/>
      <w:u w:val="none"/>
    </w:rPr>
  </w:style>
  <w:style w:type="character" w:customStyle="1" w:styleId="12">
    <w:name w:val="font71"/>
    <w:qFormat/>
    <w:uiPriority w:val="0"/>
    <w:rPr>
      <w:rFonts w:hint="eastAsia" w:ascii="宋体" w:hAnsi="宋体" w:eastAsia="宋体" w:cs="宋体"/>
      <w:strike/>
      <w:color w:val="000000"/>
      <w:sz w:val="20"/>
      <w:szCs w:val="20"/>
    </w:rPr>
  </w:style>
  <w:style w:type="character" w:customStyle="1" w:styleId="13">
    <w:name w:val="font31"/>
    <w:qFormat/>
    <w:uiPriority w:val="0"/>
    <w:rPr>
      <w:rFonts w:hint="eastAsia" w:ascii="宋体" w:hAnsi="宋体" w:eastAsia="宋体" w:cs="宋体"/>
      <w:i/>
      <w:color w:val="000000"/>
      <w:sz w:val="20"/>
      <w:szCs w:val="20"/>
      <w:u w:val="none"/>
    </w:rPr>
  </w:style>
  <w:style w:type="character" w:customStyle="1" w:styleId="14">
    <w:name w:val="font41"/>
    <w:qFormat/>
    <w:uiPriority w:val="0"/>
    <w:rPr>
      <w:rFonts w:hint="eastAsia" w:ascii="宋体" w:hAnsi="宋体" w:eastAsia="宋体" w:cs="宋体"/>
      <w:b/>
      <w:color w:val="000000"/>
      <w:sz w:val="20"/>
      <w:szCs w:val="20"/>
      <w:u w:val="none"/>
    </w:rPr>
  </w:style>
  <w:style w:type="character" w:customStyle="1" w:styleId="15">
    <w:name w:val="未处理的提及"/>
    <w:unhideWhenUsed/>
    <w:qFormat/>
    <w:uiPriority w:val="99"/>
    <w:rPr>
      <w:color w:val="605E5C"/>
      <w:shd w:val="clear" w:color="auto" w:fill="E1DFDD"/>
    </w:rPr>
  </w:style>
  <w:style w:type="character" w:customStyle="1" w:styleId="16">
    <w:name w:val="页眉 Char"/>
    <w:basedOn w:val="5"/>
    <w:link w:val="3"/>
    <w:qFormat/>
    <w:uiPriority w:val="0"/>
    <w:rPr>
      <w:rFonts w:ascii="Times New Roman" w:hAnsi="Times New Roman" w:eastAsia="宋体" w:cs="Times New Roman"/>
      <w:sz w:val="18"/>
      <w:szCs w:val="18"/>
    </w:rPr>
  </w:style>
  <w:style w:type="character" w:customStyle="1" w:styleId="17">
    <w:name w:val="页脚 Char"/>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14541</Words>
  <Characters>82890</Characters>
  <Lines>690</Lines>
  <Paragraphs>194</Paragraphs>
  <TotalTime>12</TotalTime>
  <ScaleCrop>false</ScaleCrop>
  <LinksUpToDate>false</LinksUpToDate>
  <CharactersWithSpaces>97237</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2022-02-17T11:36:00Z</dcterms:created>
  <dc:creator>Lenovo9</dc:creator>
  <cp:lastModifiedBy>Lenovo</cp:lastModifiedBy>
  <dcterms:modified xsi:type="dcterms:W3CDTF">2023-10-16T09:45:27Z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C3D533390A2747389F068A4F8C5D9078</vt:lpwstr>
  </property>
</Properties>
</file>