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鱼峰区全民健身和全民健康深度融合</w:t>
      </w:r>
    </w:p>
    <w:p>
      <w:pPr>
        <w:spacing w:line="520" w:lineRule="exact"/>
        <w:jc w:val="center"/>
        <w:rPr>
          <w:rFonts w:ascii="方正小标宋简体" w:hAnsi="黑体" w:eastAsia="方正小标宋简体" w:cs="黑体"/>
          <w:color w:val="000000"/>
          <w:sz w:val="44"/>
          <w:szCs w:val="44"/>
        </w:rPr>
      </w:pPr>
      <w:r>
        <w:rPr>
          <w:rFonts w:hint="eastAsia" w:ascii="方正小标宋简体" w:hAnsi="黑体" w:eastAsia="方正小标宋简体" w:cs="黑体"/>
          <w:color w:val="000000"/>
          <w:sz w:val="44"/>
          <w:szCs w:val="44"/>
        </w:rPr>
        <w:t>试点工作实施方案</w:t>
      </w:r>
    </w:p>
    <w:p>
      <w:pPr>
        <w:pStyle w:val="6"/>
        <w:widowControl/>
        <w:spacing w:before="0" w:beforeAutospacing="0" w:after="0" w:afterAutospacing="0" w:line="520" w:lineRule="exact"/>
        <w:jc w:val="center"/>
        <w:rPr>
          <w:rFonts w:ascii="宋体" w:hAnsi="宋体" w:eastAsia="宋体" w:cs="宋体"/>
          <w:color w:val="000000"/>
          <w:sz w:val="18"/>
          <w:szCs w:val="18"/>
        </w:rPr>
      </w:pPr>
    </w:p>
    <w:p>
      <w:pPr>
        <w:pStyle w:val="6"/>
        <w:widowControl/>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为深入学习贯彻党的十九大精神，落实《自治区党委自治区人民政府印发&lt;关于推进健康广西建设的决定&gt;、&lt;“健康广西2030”规划&gt;的通知》和全国、全区、全市卫生与健康大会精神，根据《广西壮族自治区人民政府办公厅关于加快推动全民健身和全民健康深度融合的指导意见》和《柳州市全民健身和全民健康深度融合试点工作实施方案》，结合鱼峰区实际，特制定本方案。</w:t>
      </w:r>
    </w:p>
    <w:p>
      <w:pPr>
        <w:pStyle w:val="6"/>
        <w:widowControl/>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一、指导思想及工作目标</w:t>
      </w:r>
    </w:p>
    <w:p>
      <w:pPr>
        <w:pStyle w:val="7"/>
        <w:spacing w:before="0" w:after="0" w:line="520" w:lineRule="exact"/>
        <w:ind w:firstLine="630"/>
        <w:jc w:val="both"/>
        <w:rPr>
          <w:rFonts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kern w:val="2"/>
          <w:sz w:val="32"/>
          <w:szCs w:val="32"/>
        </w:rPr>
        <w:t>为深入贯彻习近平总书记系列重要讲话特别是关于体育、卫生和健康工作系列重要讲话精神，全面落实全国、全区卫生与健康大会精神，树立大体育、大健康的理念，反以治病为中心转变为以人民健康为中心，发挥体育在健康促进、疾病预防和康复等方面的独特优势，释放体育在振奋精神、凝聚力量、推动经济社会发展等方面的多元功能，</w:t>
      </w:r>
      <w:r>
        <w:rPr>
          <w:rFonts w:hint="eastAsia" w:ascii="仿宋_GB2312" w:hAnsi="仿宋_GB2312" w:eastAsia="仿宋_GB2312" w:cs="仿宋_GB2312"/>
          <w:b w:val="0"/>
          <w:bCs w:val="0"/>
          <w:color w:val="000000"/>
          <w:sz w:val="32"/>
          <w:szCs w:val="32"/>
        </w:rPr>
        <w:t>经柳州市体育局与鱼峰区人民政府研究协商，双方就共建全民健身与全民健康深度融合示范项目积极开展合作，</w:t>
      </w:r>
      <w:r>
        <w:rPr>
          <w:rFonts w:hint="eastAsia" w:ascii="仿宋_GB2312" w:hAnsi="仿宋_GB2312" w:eastAsia="仿宋_GB2312" w:cs="仿宋_GB2312"/>
          <w:b w:val="0"/>
          <w:bCs w:val="0"/>
          <w:color w:val="000000"/>
          <w:kern w:val="2"/>
          <w:sz w:val="32"/>
          <w:szCs w:val="32"/>
        </w:rPr>
        <w:t>共同探索全民健身和全民健康融合的体制机制，共同推进全民健身和全民健康融合试点工作。</w:t>
      </w:r>
      <w:r>
        <w:rPr>
          <w:rFonts w:hint="eastAsia" w:ascii="仿宋_GB2312" w:hAnsi="仿宋_GB2312" w:eastAsia="仿宋_GB2312" w:cs="仿宋_GB2312"/>
          <w:b w:val="0"/>
          <w:bCs w:val="0"/>
          <w:color w:val="000000"/>
          <w:sz w:val="32"/>
          <w:szCs w:val="32"/>
        </w:rPr>
        <w:t>到2020年，通过推动全民健身和全民健康在理念、机制、政策、规划、组织、设施、队伍、活动等八个方面深度融合，实现“八化”，即体育运动全民化、体育健身生活化、健身设施便利化、体育锻炼科学化、体育工作制度化、健身服务智能化、健身组织社会化、国民体质健康化，使鱼峰区成为在全市，乃至全广西有影响、有特点的全民健身和全民健康深度融合先行地区，逐步实现运动柳州、休闲柳州、健康柳州。</w:t>
      </w:r>
    </w:p>
    <w:p>
      <w:pPr>
        <w:pStyle w:val="6"/>
        <w:widowControl/>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二、基本原则</w:t>
      </w:r>
    </w:p>
    <w:p>
      <w:pPr>
        <w:pStyle w:val="6"/>
        <w:widowControl/>
        <w:spacing w:before="0" w:beforeAutospacing="0" w:after="0" w:afterAutospacing="0"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坚持以人为本。</w:t>
      </w:r>
      <w:r>
        <w:rPr>
          <w:rFonts w:hint="eastAsia" w:ascii="仿宋_GB2312" w:hAnsi="仿宋_GB2312" w:eastAsia="仿宋_GB2312" w:cs="仿宋_GB2312"/>
          <w:color w:val="000000"/>
          <w:sz w:val="32"/>
          <w:szCs w:val="32"/>
        </w:rPr>
        <w:t>以人民健康为中心，发挥全民科学健身在健康促进、慢性病预防和康复等方面的积极作用，积极搭建健身健康融合发展新载体，深入开展体现群众意愿和地域特色的针对性、操作性强的活动，不断提高群众健康水平。</w:t>
      </w:r>
    </w:p>
    <w:p>
      <w:pPr>
        <w:pStyle w:val="6"/>
        <w:widowControl/>
        <w:spacing w:before="0" w:beforeAutospacing="0" w:after="0" w:afterAutospacing="0"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坚持共建共享。</w:t>
      </w:r>
      <w:r>
        <w:rPr>
          <w:rFonts w:hint="eastAsia" w:ascii="仿宋_GB2312" w:hAnsi="仿宋_GB2312" w:eastAsia="仿宋_GB2312" w:cs="仿宋_GB2312"/>
          <w:color w:val="000000"/>
          <w:sz w:val="32"/>
          <w:szCs w:val="32"/>
        </w:rPr>
        <w:t>坚持全民参与、融合共享，发挥政府、社会和市场“三轮驱动”，推动全民健身和全民健康协同发展和共建共享。</w:t>
      </w:r>
    </w:p>
    <w:p>
      <w:pPr>
        <w:pStyle w:val="6"/>
        <w:widowControl/>
        <w:spacing w:before="0" w:beforeAutospacing="0" w:after="0" w:afterAutospacing="0"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坚持因地制宜。</w:t>
      </w:r>
      <w:r>
        <w:rPr>
          <w:rFonts w:hint="eastAsia" w:ascii="仿宋_GB2312" w:hAnsi="仿宋_GB2312" w:eastAsia="仿宋_GB2312" w:cs="仿宋_GB2312"/>
          <w:color w:val="000000"/>
          <w:sz w:val="32"/>
          <w:szCs w:val="32"/>
        </w:rPr>
        <w:t>充分发挥鱼峰区特色民间文艺艺术资源、</w:t>
      </w:r>
      <w:r>
        <w:rPr>
          <w:rFonts w:hint="eastAsia" w:ascii="仿宋_GB2312" w:hAnsi="宋体" w:eastAsia="仿宋_GB2312"/>
          <w:color w:val="000000"/>
          <w:sz w:val="32"/>
          <w:szCs w:val="32"/>
        </w:rPr>
        <w:t>民族文化</w:t>
      </w:r>
      <w:r>
        <w:rPr>
          <w:rFonts w:hint="eastAsia" w:ascii="仿宋_GB2312" w:hAnsi="仿宋_GB2312" w:eastAsia="仿宋_GB2312" w:cs="仿宋_GB2312"/>
          <w:color w:val="000000"/>
          <w:sz w:val="32"/>
          <w:szCs w:val="32"/>
        </w:rPr>
        <w:t>、宜居环境等资源优势，整合部门工作内容，集聚资金、土地等要素，科学规划、有序建设，形成独具特色的健身健康融合发展模式。</w:t>
      </w:r>
    </w:p>
    <w:p>
      <w:pPr>
        <w:pStyle w:val="6"/>
        <w:widowControl/>
        <w:spacing w:before="0" w:beforeAutospacing="0" w:after="0" w:afterAutospacing="0"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坚持改革创新。</w:t>
      </w:r>
      <w:r>
        <w:rPr>
          <w:rFonts w:hint="eastAsia" w:ascii="仿宋_GB2312" w:hAnsi="仿宋_GB2312" w:eastAsia="仿宋_GB2312" w:cs="仿宋_GB2312"/>
          <w:color w:val="000000"/>
          <w:sz w:val="32"/>
          <w:szCs w:val="32"/>
        </w:rPr>
        <w:t>以利民惠民为目的，加大改革创新力度，突破思想和体制障碍，鼓励创新发展理念和发展模式，大胆探索体育和健康领域改革，先行先试，总结经验，示范带动，逐步推广。</w:t>
      </w:r>
    </w:p>
    <w:p>
      <w:pPr>
        <w:pStyle w:val="6"/>
        <w:widowControl/>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三、工作步骤</w:t>
      </w: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开展全民健身和全民健康深度融合工作周期为3年，分三个阶段组织实施。</w:t>
      </w:r>
    </w:p>
    <w:p>
      <w:pPr>
        <w:pStyle w:val="6"/>
        <w:widowControl/>
        <w:shd w:val="clear" w:color="auto" w:fill="FFFFFF"/>
        <w:spacing w:before="0" w:beforeAutospacing="0" w:after="0" w:afterAutospacing="0"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（一）启动阶段</w:t>
      </w:r>
      <w:r>
        <w:rPr>
          <w:rFonts w:hint="eastAsia" w:ascii="仿宋_GB2312" w:hAnsi="仿宋_GB2312" w:eastAsia="仿宋_GB2312" w:cs="仿宋_GB2312"/>
          <w:color w:val="000000"/>
          <w:sz w:val="32"/>
          <w:szCs w:val="32"/>
          <w:shd w:val="clear" w:color="auto" w:fill="FFFFFF"/>
        </w:rPr>
        <w:t>（2018年7月—2018年10月），起草、出台《鱼峰区全民健身和全民健康深度融合试点工作实施方案》等配套文件；开展调查摸底工作，加大融合的多渠道宣传力度，启动全民健身与全民健康深度融合工作。</w:t>
      </w:r>
    </w:p>
    <w:p>
      <w:pPr>
        <w:spacing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（二）实施阶段</w:t>
      </w:r>
      <w:r>
        <w:rPr>
          <w:rFonts w:hint="eastAsia" w:ascii="仿宋_GB2312" w:hAnsi="仿宋_GB2312" w:eastAsia="仿宋_GB2312" w:cs="仿宋_GB2312"/>
          <w:color w:val="000000"/>
          <w:sz w:val="32"/>
          <w:szCs w:val="32"/>
          <w:shd w:val="clear" w:color="auto" w:fill="FFFFFF"/>
        </w:rPr>
        <w:t>（2018年11月—2019年12月），</w:t>
      </w:r>
      <w:r>
        <w:rPr>
          <w:rFonts w:hint="eastAsia" w:ascii="仿宋_GB2312" w:hAnsi="仿宋_GB2312" w:eastAsia="仿宋_GB2312" w:cs="仿宋_GB2312"/>
          <w:color w:val="000000"/>
          <w:sz w:val="32"/>
          <w:szCs w:val="32"/>
        </w:rPr>
        <w:t>全面实施试点工作。</w:t>
      </w:r>
    </w:p>
    <w:p>
      <w:pPr>
        <w:spacing w:line="52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shd w:val="clear" w:color="auto" w:fill="FFFFFF"/>
        </w:rPr>
        <w:t>（三）提升阶段</w:t>
      </w:r>
      <w:r>
        <w:rPr>
          <w:rFonts w:hint="eastAsia" w:ascii="仿宋_GB2312" w:hAnsi="仿宋_GB2312" w:eastAsia="仿宋_GB2312" w:cs="仿宋_GB2312"/>
          <w:color w:val="000000"/>
          <w:sz w:val="32"/>
          <w:szCs w:val="32"/>
          <w:shd w:val="clear" w:color="auto" w:fill="FFFFFF"/>
        </w:rPr>
        <w:t>（2020年1月—12月），</w:t>
      </w:r>
      <w:r>
        <w:rPr>
          <w:rFonts w:hint="eastAsia" w:ascii="仿宋_GB2312" w:hAnsi="仿宋_GB2312" w:eastAsia="仿宋_GB2312" w:cs="仿宋_GB2312"/>
          <w:color w:val="000000"/>
          <w:sz w:val="32"/>
          <w:szCs w:val="32"/>
        </w:rPr>
        <w:t>巩固提升，完成试点工作，迎接上级部门进行全面评估。</w:t>
      </w:r>
    </w:p>
    <w:p>
      <w:pPr>
        <w:pStyle w:val="6"/>
        <w:widowControl/>
        <w:spacing w:before="0" w:beforeAutospacing="0" w:after="0" w:afterAutospacing="0" w:line="52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四、工作任务</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自治区体育局、柳州市体育局推动全民健身和全民健康工作方案的要求，结合我区工作实际，依托深厚群众体育运动基础，围绕“便民惠民”这个核心，就全民健身和全民健康理念、机制、组织、设施、队伍、活动等方面的深度融合进行探索，实现体育工作发展“八化”目标。</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（一）弘扬群众身边的体育健身文化。</w:t>
      </w:r>
      <w:r>
        <w:rPr>
          <w:rFonts w:hint="eastAsia" w:ascii="仿宋_GB2312" w:hAnsi="仿宋_GB2312" w:eastAsia="仿宋_GB2312" w:cs="仿宋_GB2312"/>
          <w:sz w:val="32"/>
          <w:szCs w:val="32"/>
        </w:rPr>
        <w:t>充分认识和大力宣传开展全民健身运动对于促进全民健康的重要意义和独特作用。充分利用宣传、体育文化、教育、卫计等部门的教育宣传资源，用人民群众听得到、听得懂、听得进的途径和方法，借助全民健身日、广西体育节、第十四届市运会、元旦春节等各种节庆活动，讲好群众身边的健身故事，宣传推广健身榜样，传播群众健身好声音。通过宣传运动项目文化，传播科学健身知识，推广科学锻炼方式，引导人民群众积极树立“我的健康我做主”“运动使生活更美好”“掌握一项体育技能，享受一生健康生活”的新理念。将全民健身融入群众性精神文明创建中、融入家风建设中，树立和营造以参与体育健身、拥有强健体魄为荣的个人发展理念和舆论氛围。激励和带动更多群众参与全民健身。</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（二）健全群众身边的体育健身组织。</w:t>
      </w:r>
      <w:r>
        <w:rPr>
          <w:rFonts w:hint="eastAsia" w:ascii="仿宋_GB2312" w:hAnsi="仿宋_GB2312" w:eastAsia="仿宋_GB2312" w:cs="仿宋_GB2312"/>
          <w:sz w:val="32"/>
          <w:szCs w:val="32"/>
        </w:rPr>
        <w:t>建立健全专兼职管理队伍，积极发展镇（街道）、村（社区）和一些生活住宅小区中的群众性体育协会、健身俱乐部、健身活动站（点）等体育组织。</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（三）建设群众身边的体育健身设施。</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1.</w:t>
      </w:r>
      <w:r>
        <w:rPr>
          <w:rFonts w:hint="eastAsia" w:ascii="仿宋_GB2312" w:hAnsi="楷体" w:eastAsia="仿宋_GB2312" w:cs="楷体"/>
          <w:bCs/>
          <w:sz w:val="32"/>
          <w:szCs w:val="32"/>
        </w:rPr>
        <w:t>规范和完善居住区体育设施建设。</w:t>
      </w:r>
      <w:r>
        <w:rPr>
          <w:rFonts w:hint="eastAsia" w:ascii="仿宋_GB2312" w:hAnsi="仿宋_GB2312" w:eastAsia="仿宋_GB2312" w:cs="仿宋_GB2312"/>
          <w:sz w:val="32"/>
          <w:szCs w:val="32"/>
        </w:rPr>
        <w:t>把“体育生活化社区”与“15分钟健身圈”有机结合起来，大力开展群众体育设施建设，因地制宜建设人民群众看得见、用得上的健身场地设施。</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2.</w:t>
      </w:r>
      <w:r>
        <w:rPr>
          <w:rFonts w:hint="eastAsia" w:ascii="仿宋_GB2312" w:hAnsi="楷体" w:eastAsia="仿宋_GB2312" w:cs="楷体"/>
          <w:bCs/>
          <w:sz w:val="32"/>
          <w:szCs w:val="32"/>
        </w:rPr>
        <w:t>提高机关和企事业单位体育设施利用率。</w:t>
      </w:r>
      <w:r>
        <w:rPr>
          <w:rFonts w:hint="eastAsia" w:ascii="仿宋_GB2312" w:hAnsi="仿宋_GB2312" w:eastAsia="仿宋_GB2312" w:cs="仿宋_GB2312"/>
          <w:sz w:val="32"/>
          <w:szCs w:val="32"/>
        </w:rPr>
        <w:t>推进行政和企事业单位体育设施向社会开放，使其成为周边居民健身活动的主要阵地。财政投入的体育场馆和体育场地全部向社会免费或低收费开放。以政府购买服务的方式推动行政和企事业单位体育设施向公众开放。落实《教育部国家体育总局关于推进学校体育场馆向社会开放的实施意见》，带动具备条件的学校积极开放，使开放水平和使用效率得到普遍提升。新建学校要做好体育场馆设施向社会开放使用的规划。</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（四）丰富群众身边的体育健身活动。</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1.</w:t>
      </w:r>
      <w:r>
        <w:rPr>
          <w:rFonts w:hint="eastAsia" w:ascii="仿宋_GB2312" w:hAnsi="楷体" w:eastAsia="仿宋_GB2312" w:cs="楷体"/>
          <w:bCs/>
          <w:sz w:val="32"/>
          <w:szCs w:val="32"/>
        </w:rPr>
        <w:t>发展群众喜闻乐见的体育项目。</w:t>
      </w:r>
      <w:r>
        <w:rPr>
          <w:rFonts w:hint="eastAsia" w:ascii="仿宋_GB2312" w:hAnsi="仿宋_GB2312" w:eastAsia="仿宋_GB2312" w:cs="仿宋_GB2312"/>
          <w:sz w:val="32"/>
          <w:szCs w:val="32"/>
        </w:rPr>
        <w:t>建设不同人群、不同环境和不同身体状况的特色运动项目。大力发展广场舞、健身跑、健步走、跆拳道、骑行、登山、武术、球类等群众喜闻乐见的运动项目。</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2.</w:t>
      </w:r>
      <w:r>
        <w:rPr>
          <w:rFonts w:hint="eastAsia" w:ascii="仿宋_GB2312" w:hAnsi="楷体" w:eastAsia="仿宋_GB2312" w:cs="楷体"/>
          <w:bCs/>
          <w:sz w:val="32"/>
          <w:szCs w:val="32"/>
        </w:rPr>
        <w:t>关注重点人群体育活动。</w:t>
      </w:r>
      <w:r>
        <w:rPr>
          <w:rFonts w:hint="eastAsia" w:ascii="仿宋_GB2312" w:hAnsi="仿宋_GB2312" w:eastAsia="仿宋_GB2312" w:cs="仿宋_GB2312"/>
          <w:sz w:val="32"/>
          <w:szCs w:val="32"/>
        </w:rPr>
        <w:t>每年推广1-2个简便易行，群众喜闻乐见的体育健身项目。开展一系列体育比赛活动，坚持每四年举办一次区运会。每年举办一次面向妇女、老年人或青少年为主的单项体育赛事活动，促进妇女、老年人及青少年积极参与体育活动。组织举办全区单位干部职工运动会，每年举办一次干部职工时间跨度60天以上的体育项目联赛。</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3.</w:t>
      </w:r>
      <w:r>
        <w:rPr>
          <w:rFonts w:hint="eastAsia" w:ascii="仿宋_GB2312" w:hAnsi="楷体" w:eastAsia="仿宋_GB2312" w:cs="楷体"/>
          <w:bCs/>
          <w:sz w:val="32"/>
          <w:szCs w:val="32"/>
        </w:rPr>
        <w:t>建立社区全民健身联建共建模式。</w:t>
      </w:r>
      <w:r>
        <w:rPr>
          <w:rFonts w:hint="eastAsia" w:ascii="仿宋_GB2312" w:hAnsi="仿宋_GB2312" w:eastAsia="仿宋_GB2312" w:cs="仿宋_GB2312"/>
          <w:sz w:val="32"/>
          <w:szCs w:val="32"/>
        </w:rPr>
        <w:t>优化、整合机关企事业单位、社区居委会以及学校等各方体育人才、场地器材资源优势，积极组织开展联建共建单位体育活动和比赛，实现健身有场地、有组织，每天定时开展健身活动，每年举行1次社区运动会。</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（五）加强群众身边的体育健身指导。</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1.</w:t>
      </w:r>
      <w:r>
        <w:rPr>
          <w:rFonts w:hint="eastAsia" w:ascii="仿宋_GB2312" w:hAnsi="楷体" w:eastAsia="仿宋_GB2312" w:cs="楷体"/>
          <w:bCs/>
          <w:sz w:val="32"/>
          <w:szCs w:val="32"/>
        </w:rPr>
        <w:t>加强科学健身指导。</w:t>
      </w:r>
      <w:r>
        <w:rPr>
          <w:rFonts w:hint="eastAsia" w:ascii="仿宋_GB2312" w:hAnsi="仿宋_GB2312" w:eastAsia="仿宋_GB2312" w:cs="仿宋_GB2312"/>
          <w:sz w:val="32"/>
          <w:szCs w:val="32"/>
        </w:rPr>
        <w:t>在乡镇（街道）、村（社区）开展健康促进服务试点，构建科学合理的健身指导体系，规范健身知识宣传，提高群众科学健身素养和能力，引导群众科学健身。</w:t>
      </w:r>
    </w:p>
    <w:p>
      <w:pPr>
        <w:spacing w:line="520" w:lineRule="exact"/>
        <w:ind w:firstLine="643" w:firstLineChars="200"/>
        <w:rPr>
          <w:rFonts w:ascii="仿宋_GB2312" w:hAnsi="仿宋_GB2312" w:eastAsia="仿宋_GB2312" w:cs="仿宋_GB2312"/>
          <w:sz w:val="32"/>
          <w:szCs w:val="32"/>
        </w:rPr>
      </w:pPr>
      <w:r>
        <w:rPr>
          <w:rFonts w:hint="eastAsia" w:ascii="仿宋_GB2312" w:hAnsi="楷体" w:eastAsia="仿宋_GB2312" w:cs="楷体"/>
          <w:b/>
          <w:bCs/>
          <w:sz w:val="32"/>
          <w:szCs w:val="32"/>
        </w:rPr>
        <w:t>2.</w:t>
      </w:r>
      <w:r>
        <w:rPr>
          <w:rFonts w:hint="eastAsia" w:ascii="仿宋_GB2312" w:hAnsi="楷体" w:eastAsia="仿宋_GB2312" w:cs="楷体"/>
          <w:bCs/>
          <w:sz w:val="32"/>
          <w:szCs w:val="32"/>
        </w:rPr>
        <w:t>健全社会体育指导员服务长效机制。</w:t>
      </w:r>
      <w:r>
        <w:rPr>
          <w:rFonts w:hint="eastAsia" w:ascii="仿宋_GB2312" w:hAnsi="仿宋_GB2312" w:eastAsia="仿宋_GB2312" w:cs="仿宋_GB2312"/>
          <w:sz w:val="32"/>
          <w:szCs w:val="32"/>
        </w:rPr>
        <w:t>制定社会体育指导员管理制度。结合全民健身志愿者服务百县千乡万户活动，搭建社会体育指导员技能展示平台，开展技能大比武活动，打造一批优秀社会体育指导员，增强体育指导和服务的荣誉感。</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（六）壮大全民健身服务队伍。</w:t>
      </w:r>
      <w:r>
        <w:rPr>
          <w:rFonts w:hint="eastAsia" w:ascii="仿宋_GB2312" w:hAnsi="仿宋_GB2312" w:eastAsia="仿宋_GB2312" w:cs="仿宋_GB2312"/>
          <w:sz w:val="32"/>
          <w:szCs w:val="32"/>
        </w:rPr>
        <w:t>建好社会体育指导员、全民健身志愿者、科学健身指导员、基层文体管理员四支队伍，拓宽全民健身工作抓手，壮大全民健身工作队伍。将体育专业大学生到社区开展健身服务作为实习实践的有效途径，确保社区有相对稳定的健身指导员。完善全民健身志愿服务长效机制，坚持因地制宜、面向基层、群众受益、注重实效的原则。</w:t>
      </w:r>
    </w:p>
    <w:p>
      <w:pPr>
        <w:spacing w:line="52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五、工作要求</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（一）提高认识，加强领导。</w:t>
      </w:r>
      <w:r>
        <w:rPr>
          <w:rFonts w:hint="eastAsia" w:ascii="仿宋_GB2312" w:hAnsi="仿宋_GB2312" w:eastAsia="仿宋_GB2312" w:cs="仿宋_GB2312"/>
          <w:sz w:val="32"/>
          <w:szCs w:val="32"/>
        </w:rPr>
        <w:t>全民健身和全民健康深度融合是加快推进健康广西、健康柳州建设的重要举措，是实现小康社会的重要途径。有关部门要进一步提高认识，加强领导，把此项工作切实抓紧抓好。建立由区文体新局牵头，相关部门为成员的鱼峰区全民健身和全民健康深度融合工作联席会议制度，将融合工作纳入重要议事日程，把工作抓好、抓出成效。</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（二）明确责任，主动融合。</w:t>
      </w:r>
      <w:r>
        <w:rPr>
          <w:rFonts w:hint="eastAsia" w:ascii="仿宋_GB2312" w:hAnsi="仿宋_GB2312" w:eastAsia="仿宋_GB2312" w:cs="仿宋_GB2312"/>
          <w:sz w:val="32"/>
          <w:szCs w:val="32"/>
        </w:rPr>
        <w:t>根据实际情况，落实责任，明确完成时限，确保与健康广西、健康柳州建设各项工作同步部署和落实。</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（三）整合资金，保障经费。</w:t>
      </w:r>
      <w:r>
        <w:rPr>
          <w:rFonts w:hint="eastAsia" w:ascii="仿宋_GB2312" w:hAnsi="仿宋_GB2312" w:eastAsia="仿宋_GB2312" w:cs="仿宋_GB2312"/>
          <w:sz w:val="32"/>
          <w:szCs w:val="32"/>
        </w:rPr>
        <w:t>以柳州市体育局、鱼峰区政府为主体，有效整合各方资金，通过“争取中央支持，柳州市、城区财政配套，部门整合拨付，企业捐助，群众自筹”的多元化投入方式解决资金问题。特别要善于通过市场化运作，引导和鼓励社会资金参与，切实保障工作经费。</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（四）强化督查，全面评估。</w:t>
      </w:r>
      <w:r>
        <w:rPr>
          <w:rFonts w:hint="eastAsia" w:ascii="仿宋_GB2312" w:hAnsi="仿宋_GB2312" w:eastAsia="仿宋_GB2312" w:cs="仿宋_GB2312"/>
          <w:sz w:val="32"/>
          <w:szCs w:val="32"/>
        </w:rPr>
        <w:t>将深度融合工作列入区政府年度督查内容。对融合工作进展情况定期进行督查，并在2020年对实施成效进行。</w:t>
      </w:r>
    </w:p>
    <w:p>
      <w:pPr>
        <w:pStyle w:val="6"/>
        <w:widowControl/>
        <w:spacing w:before="0" w:beforeAutospacing="0" w:after="0" w:afterAutospacing="0" w:line="520" w:lineRule="exact"/>
        <w:rPr>
          <w:rFonts w:ascii="仿宋_GB2312" w:hAnsi="仿宋_GB2312" w:eastAsia="仿宋_GB2312" w:cs="仿宋_GB2312"/>
          <w:color w:val="000000"/>
          <w:sz w:val="32"/>
          <w:szCs w:val="32"/>
        </w:rPr>
      </w:pPr>
    </w:p>
    <w:p>
      <w:pPr>
        <w:spacing w:line="520" w:lineRule="exact"/>
        <w:ind w:left="1440" w:hanging="1440" w:hangingChars="450"/>
        <w:rPr>
          <w:rFonts w:hint="eastAsia" w:ascii="仿宋_GB2312" w:hAnsi="楷体" w:eastAsia="仿宋_GB2312" w:cs="楷体_GB2312"/>
          <w:sz w:val="32"/>
          <w:szCs w:val="32"/>
        </w:rPr>
      </w:pPr>
      <w:r>
        <w:rPr>
          <w:rFonts w:hint="eastAsia" w:ascii="黑体" w:hAnsi="黑体" w:eastAsia="黑体"/>
          <w:sz w:val="32"/>
          <w:szCs w:val="32"/>
        </w:rPr>
        <w:t>附件：</w:t>
      </w:r>
      <w:r>
        <w:rPr>
          <w:rFonts w:hint="eastAsia" w:ascii="仿宋_GB2312" w:hAnsi="楷体" w:eastAsia="仿宋_GB2312" w:cs="楷体_GB2312"/>
          <w:sz w:val="32"/>
          <w:szCs w:val="32"/>
        </w:rPr>
        <w:t>鱼峰区全民健身和全民健康深度融合试点工作实施方案</w:t>
      </w:r>
    </w:p>
    <w:p>
      <w:pPr>
        <w:spacing w:line="520" w:lineRule="exact"/>
        <w:ind w:left="1438" w:leftChars="456" w:hanging="480" w:hangingChars="150"/>
        <w:rPr>
          <w:rFonts w:ascii="仿宋_GB2312" w:hAnsi="楷体" w:eastAsia="仿宋_GB2312" w:cs="楷体_GB2312"/>
          <w:sz w:val="32"/>
          <w:szCs w:val="32"/>
        </w:rPr>
      </w:pPr>
      <w:r>
        <w:rPr>
          <w:rFonts w:hint="eastAsia" w:ascii="仿宋_GB2312" w:hAnsi="楷体" w:eastAsia="仿宋_GB2312" w:cs="楷体_GB2312"/>
          <w:sz w:val="32"/>
          <w:szCs w:val="32"/>
        </w:rPr>
        <w:t>任务分解表</w:t>
      </w: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rPr>
          <w:rFonts w:hint="eastAsia" w:ascii="仿宋_GB2312" w:hAnsi="仿宋_GB2312" w:eastAsia="仿宋_GB2312" w:cs="仿宋_GB2312"/>
          <w:color w:val="000000"/>
          <w:sz w:val="32"/>
          <w:szCs w:val="32"/>
        </w:rPr>
      </w:pPr>
    </w:p>
    <w:p>
      <w:pPr>
        <w:pStyle w:val="6"/>
        <w:widowControl/>
        <w:spacing w:before="0" w:beforeAutospacing="0" w:after="0" w:afterAutospacing="0" w:line="520" w:lineRule="exact"/>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r>
        <w:rPr>
          <w:rFonts w:hint="eastAsia" w:ascii="黑体" w:hAnsi="仿宋_GB2312" w:eastAsia="黑体" w:cs="仿宋_GB2312"/>
          <w:color w:val="000000"/>
          <w:sz w:val="32"/>
          <w:szCs w:val="32"/>
        </w:rPr>
        <w:t>公开方式：</w:t>
      </w:r>
      <w:r>
        <w:rPr>
          <w:rFonts w:hint="eastAsia" w:ascii="仿宋_GB2312" w:hAnsi="仿宋_GB2312" w:eastAsia="仿宋_GB2312" w:cs="仿宋_GB2312"/>
          <w:color w:val="000000"/>
          <w:sz w:val="32"/>
          <w:szCs w:val="32"/>
        </w:rPr>
        <w:t>主动公开</w:t>
      </w:r>
    </w:p>
    <w:p>
      <w:pPr>
        <w:spacing w:line="520" w:lineRule="exact"/>
        <w:rPr>
          <w:rFonts w:eastAsia="仿宋_GB2312"/>
          <w:sz w:val="34"/>
          <w:szCs w:val="34"/>
        </w:rPr>
      </w:pPr>
    </w:p>
    <w:p>
      <w:pPr>
        <w:spacing w:line="520" w:lineRule="exact"/>
        <w:rPr>
          <w:rFonts w:eastAsia="仿宋_GB2312"/>
          <w:sz w:val="34"/>
          <w:szCs w:val="34"/>
        </w:rPr>
      </w:pPr>
    </w:p>
    <w:p>
      <w:pPr>
        <w:spacing w:line="520" w:lineRule="exact"/>
        <w:rPr>
          <w:rFonts w:eastAsia="仿宋_GB2312"/>
          <w:sz w:val="34"/>
          <w:szCs w:val="34"/>
        </w:rPr>
      </w:pPr>
    </w:p>
    <w:p>
      <w:pPr>
        <w:pBdr>
          <w:top w:val="single" w:color="auto" w:sz="4" w:space="1"/>
          <w:bottom w:val="single" w:color="auto" w:sz="4" w:space="1"/>
        </w:pBdr>
        <w:spacing w:line="520" w:lineRule="exact"/>
        <w:ind w:left="105" w:leftChars="50" w:right="105" w:rightChars="50" w:firstLine="420" w:firstLineChars="150"/>
        <w:textAlignment w:val="center"/>
        <w:rPr>
          <w:rFonts w:eastAsia="仿宋_GB2312"/>
          <w:sz w:val="28"/>
          <w:szCs w:val="28"/>
        </w:rPr>
      </w:pPr>
      <w:r>
        <w:rPr>
          <w:rFonts w:hint="eastAsia" w:eastAsia="仿宋_GB2312"/>
          <w:sz w:val="28"/>
          <w:szCs w:val="28"/>
        </w:rPr>
        <w:t>鱼峰区人民政府办公室</w:t>
      </w:r>
      <w:r>
        <w:rPr>
          <w:rFonts w:hint="eastAsia" w:ascii="仿宋_GB2312" w:eastAsia="仿宋_GB2312"/>
          <w:sz w:val="28"/>
          <w:szCs w:val="28"/>
        </w:rPr>
        <w:t xml:space="preserve">                　2018年8月22日印发</w:t>
      </w:r>
    </w:p>
    <w:tbl>
      <w:tblPr>
        <w:tblStyle w:val="11"/>
        <w:tblpPr w:leftFromText="180" w:rightFromText="180" w:vertAnchor="text" w:horzAnchor="page" w:tblpX="1019" w:tblpY="45"/>
        <w:tblOverlap w:val="never"/>
        <w:tblW w:w="9875" w:type="dxa"/>
        <w:tblCellSpacing w:w="0" w:type="dxa"/>
        <w:tblInd w:w="0" w:type="dxa"/>
        <w:tblLayout w:type="fixed"/>
        <w:tblCellMar>
          <w:top w:w="0" w:type="dxa"/>
          <w:left w:w="0" w:type="dxa"/>
          <w:bottom w:w="0" w:type="dxa"/>
          <w:right w:w="0" w:type="dxa"/>
        </w:tblCellMar>
      </w:tblPr>
      <w:tblGrid>
        <w:gridCol w:w="1150"/>
        <w:gridCol w:w="1764"/>
        <w:gridCol w:w="3231"/>
        <w:gridCol w:w="2384"/>
        <w:gridCol w:w="1306"/>
        <w:gridCol w:w="40"/>
      </w:tblGrid>
      <w:tr>
        <w:tblPrEx>
          <w:tblLayout w:type="fixed"/>
          <w:tblCellMar>
            <w:top w:w="0" w:type="dxa"/>
            <w:left w:w="0" w:type="dxa"/>
            <w:bottom w:w="0" w:type="dxa"/>
            <w:right w:w="0" w:type="dxa"/>
          </w:tblCellMar>
        </w:tblPrEx>
        <w:trPr>
          <w:trHeight w:val="409" w:hRule="atLeast"/>
          <w:tblCellSpacing w:w="0" w:type="dxa"/>
        </w:trPr>
        <w:tc>
          <w:tcPr>
            <w:tcW w:w="1150" w:type="dxa"/>
            <w:vAlign w:val="center"/>
          </w:tcPr>
          <w:p>
            <w:pPr>
              <w:pStyle w:val="6"/>
              <w:widowControl/>
              <w:textAlignment w:val="center"/>
              <w:rPr>
                <w:rFonts w:eastAsia="黑体"/>
                <w:sz w:val="32"/>
                <w:szCs w:val="32"/>
              </w:rPr>
            </w:pPr>
            <w:r>
              <w:rPr>
                <w:rFonts w:hint="eastAsia" w:ascii="黑体" w:hAnsi="宋体" w:eastAsia="黑体" w:cs="黑体"/>
                <w:sz w:val="32"/>
                <w:szCs w:val="32"/>
              </w:rPr>
              <w:t>附件1：</w:t>
            </w:r>
          </w:p>
        </w:tc>
        <w:tc>
          <w:tcPr>
            <w:tcW w:w="1764" w:type="dxa"/>
            <w:vAlign w:val="center"/>
          </w:tcPr>
          <w:p>
            <w:pPr>
              <w:pStyle w:val="6"/>
              <w:widowControl/>
              <w:rPr>
                <w:sz w:val="32"/>
                <w:szCs w:val="32"/>
              </w:rPr>
            </w:pPr>
            <w:r>
              <w:rPr>
                <w:rFonts w:hint="eastAsia" w:ascii="宋体" w:hAnsi="宋体" w:eastAsia="宋体" w:cs="宋体"/>
                <w:sz w:val="32"/>
                <w:szCs w:val="32"/>
              </w:rPr>
              <w:t> </w:t>
            </w:r>
          </w:p>
        </w:tc>
        <w:tc>
          <w:tcPr>
            <w:tcW w:w="3231" w:type="dxa"/>
            <w:vAlign w:val="center"/>
          </w:tcPr>
          <w:p>
            <w:pPr>
              <w:pStyle w:val="6"/>
              <w:widowControl/>
            </w:pPr>
            <w:r>
              <w:rPr>
                <w:rFonts w:hint="eastAsia" w:ascii="宋体" w:hAnsi="宋体" w:eastAsia="宋体" w:cs="宋体"/>
              </w:rPr>
              <w:t> </w:t>
            </w:r>
          </w:p>
        </w:tc>
        <w:tc>
          <w:tcPr>
            <w:tcW w:w="2384" w:type="dxa"/>
            <w:vAlign w:val="center"/>
          </w:tcPr>
          <w:p>
            <w:pPr>
              <w:pStyle w:val="6"/>
              <w:widowControl/>
            </w:pPr>
            <w:r>
              <w:rPr>
                <w:rFonts w:hint="eastAsia" w:ascii="宋体" w:hAnsi="宋体" w:eastAsia="宋体" w:cs="宋体"/>
              </w:rPr>
              <w:t> </w:t>
            </w:r>
          </w:p>
        </w:tc>
        <w:tc>
          <w:tcPr>
            <w:tcW w:w="1306" w:type="dxa"/>
            <w:vAlign w:val="center"/>
          </w:tcPr>
          <w:p>
            <w:pPr>
              <w:pStyle w:val="6"/>
              <w:widowControl/>
            </w:pPr>
            <w:r>
              <w:rPr>
                <w:rFonts w:hint="eastAsia" w:ascii="宋体" w:hAnsi="宋体" w:eastAsia="宋体" w:cs="宋体"/>
              </w:rPr>
              <w:t> </w:t>
            </w:r>
          </w:p>
        </w:tc>
        <w:tc>
          <w:tcPr>
            <w:tcW w:w="40" w:type="dxa"/>
            <w:tcBorders>
              <w:top w:val="nil"/>
              <w:left w:val="nil"/>
              <w:bottom w:val="nil"/>
              <w:right w:val="nil"/>
            </w:tcBorders>
            <w:vAlign w:val="center"/>
          </w:tcPr>
          <w:p>
            <w:pPr>
              <w:rPr>
                <w:rFonts w:ascii="宋体"/>
                <w:sz w:val="24"/>
              </w:rPr>
            </w:pPr>
          </w:p>
        </w:tc>
      </w:tr>
      <w:tr>
        <w:tblPrEx>
          <w:tblLayout w:type="fixed"/>
          <w:tblCellMar>
            <w:top w:w="0" w:type="dxa"/>
            <w:left w:w="0" w:type="dxa"/>
            <w:bottom w:w="0" w:type="dxa"/>
            <w:right w:w="0" w:type="dxa"/>
          </w:tblCellMar>
        </w:tblPrEx>
        <w:trPr>
          <w:trHeight w:val="825" w:hRule="atLeast"/>
          <w:tblCellSpacing w:w="0" w:type="dxa"/>
        </w:trPr>
        <w:tc>
          <w:tcPr>
            <w:tcW w:w="9835" w:type="dxa"/>
            <w:gridSpan w:val="5"/>
            <w:vAlign w:val="center"/>
          </w:tcPr>
          <w:p>
            <w:pPr>
              <w:pStyle w:val="6"/>
              <w:widowControl/>
              <w:spacing w:line="440" w:lineRule="exact"/>
              <w:jc w:val="center"/>
              <w:textAlignment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鱼峰区全民健身和全民健康深度融合试点工作</w:t>
            </w:r>
          </w:p>
          <w:p>
            <w:pPr>
              <w:pStyle w:val="6"/>
              <w:widowControl/>
              <w:spacing w:line="440" w:lineRule="exact"/>
              <w:jc w:val="center"/>
              <w:textAlignment w:val="center"/>
            </w:pPr>
            <w:r>
              <w:rPr>
                <w:rFonts w:hint="eastAsia" w:ascii="方正小标宋简体" w:hAnsi="方正小标宋_GBK" w:eastAsia="方正小标宋简体" w:cs="方正小标宋_GBK"/>
                <w:sz w:val="44"/>
                <w:szCs w:val="44"/>
              </w:rPr>
              <w:t>实施方案任务分解表</w:t>
            </w:r>
          </w:p>
        </w:tc>
        <w:tc>
          <w:tcPr>
            <w:tcW w:w="40" w:type="dxa"/>
            <w:tcBorders>
              <w:top w:val="nil"/>
              <w:left w:val="nil"/>
              <w:bottom w:val="nil"/>
              <w:right w:val="nil"/>
            </w:tcBorders>
            <w:vAlign w:val="center"/>
          </w:tcPr>
          <w:p>
            <w:pPr>
              <w:rPr>
                <w:rFonts w:ascii="宋体"/>
                <w:sz w:val="24"/>
              </w:rPr>
            </w:pPr>
          </w:p>
        </w:tc>
      </w:tr>
      <w:tr>
        <w:tblPrEx>
          <w:tblLayout w:type="fixed"/>
          <w:tblCellMar>
            <w:top w:w="0" w:type="dxa"/>
            <w:left w:w="0" w:type="dxa"/>
            <w:bottom w:w="0" w:type="dxa"/>
            <w:right w:w="0" w:type="dxa"/>
          </w:tblCellMar>
        </w:tblPrEx>
        <w:trPr>
          <w:trHeight w:val="495" w:hRule="atLeast"/>
          <w:tblCellSpacing w:w="0" w:type="dxa"/>
        </w:trPr>
        <w:tc>
          <w:tcPr>
            <w:tcW w:w="1150" w:type="dxa"/>
            <w:tcBorders>
              <w:top w:val="single" w:color="auto" w:sz="4" w:space="0"/>
              <w:left w:val="single" w:color="auto" w:sz="4" w:space="0"/>
              <w:bottom w:val="single" w:color="auto" w:sz="4" w:space="0"/>
              <w:right w:val="single" w:color="auto" w:sz="4" w:space="0"/>
            </w:tcBorders>
            <w:vAlign w:val="center"/>
          </w:tcPr>
          <w:p>
            <w:pPr>
              <w:pStyle w:val="6"/>
              <w:widowControl/>
              <w:spacing w:line="240" w:lineRule="exact"/>
              <w:jc w:val="center"/>
              <w:textAlignment w:val="center"/>
            </w:pPr>
            <w:r>
              <w:rPr>
                <w:rFonts w:hint="eastAsia" w:ascii="宋体" w:hAnsi="宋体" w:eastAsia="宋体" w:cs="宋体"/>
                <w:b/>
              </w:rPr>
              <w:t>工作任务</w:t>
            </w:r>
          </w:p>
        </w:tc>
        <w:tc>
          <w:tcPr>
            <w:tcW w:w="4995" w:type="dxa"/>
            <w:gridSpan w:val="2"/>
            <w:tcBorders>
              <w:top w:val="single" w:color="auto" w:sz="4" w:space="0"/>
              <w:left w:val="single" w:color="auto" w:sz="4" w:space="0"/>
              <w:bottom w:val="single" w:color="auto" w:sz="4" w:space="0"/>
              <w:right w:val="single" w:color="auto" w:sz="4" w:space="0"/>
            </w:tcBorders>
            <w:vAlign w:val="center"/>
          </w:tcPr>
          <w:p>
            <w:pPr>
              <w:pStyle w:val="6"/>
              <w:widowControl/>
              <w:spacing w:line="240" w:lineRule="exact"/>
              <w:jc w:val="center"/>
              <w:textAlignment w:val="center"/>
            </w:pPr>
            <w:r>
              <w:rPr>
                <w:rFonts w:hint="eastAsia" w:ascii="宋体" w:hAnsi="宋体" w:eastAsia="宋体" w:cs="宋体"/>
                <w:b/>
              </w:rPr>
              <w:t>重点任务</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spacing w:line="240" w:lineRule="exact"/>
              <w:jc w:val="center"/>
              <w:textAlignment w:val="center"/>
            </w:pPr>
            <w:r>
              <w:rPr>
                <w:rFonts w:hint="eastAsia" w:ascii="宋体" w:hAnsi="宋体" w:eastAsia="宋体" w:cs="宋体"/>
                <w:b/>
              </w:rPr>
              <w:t>责任部门</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spacing w:line="240" w:lineRule="exact"/>
              <w:jc w:val="center"/>
              <w:textAlignment w:val="center"/>
            </w:pPr>
            <w:r>
              <w:rPr>
                <w:rFonts w:hint="eastAsia" w:ascii="宋体" w:hAnsi="宋体" w:eastAsia="宋体" w:cs="宋体"/>
                <w:b/>
              </w:rPr>
              <w:t>完成时限</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570" w:hRule="atLeast"/>
          <w:tblCellSpacing w:w="0" w:type="dxa"/>
        </w:trPr>
        <w:tc>
          <w:tcPr>
            <w:tcW w:w="1150"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一、加强理念融合。</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（一）引导树立体育健身文化新理念；构建体育健身文化宣传大格局。</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color w:val="000000"/>
                <w:sz w:val="22"/>
                <w:szCs w:val="22"/>
              </w:rPr>
              <w:t>1.开设全民健身和全民健康宣传专栏。</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区文体新局、区卫计局、各乡镇（街道）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509" w:hRule="atLeast"/>
          <w:tblCellSpacing w:w="0" w:type="dxa"/>
        </w:trPr>
        <w:tc>
          <w:tcPr>
            <w:tcW w:w="1150" w:type="dxa"/>
            <w:vMerge w:val="continue"/>
            <w:tcBorders>
              <w:left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p>
        </w:tc>
        <w:tc>
          <w:tcPr>
            <w:tcW w:w="1764" w:type="dxa"/>
            <w:vMerge w:val="continue"/>
            <w:tcBorders>
              <w:left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2.每年举办不少于4期全民健身和全民健康讲座。</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区文体新局、区卫计局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1245"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3.借助元旦、春节、全民健身日、三月三、体育节等各种节庆开展体育活动，利用微信公众号、门户网站等多种形式和途径，将科学健身知识延伸、辐射到基层。</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区文体新局、区卫计局、各乡镇（街道）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630" w:hRule="atLeast"/>
          <w:tblCellSpacing w:w="0" w:type="dxa"/>
        </w:trPr>
        <w:tc>
          <w:tcPr>
            <w:tcW w:w="1150"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二、加强机制融合。</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（二）建立健全各级全民健身和全民健康深度融合部门联席会议制度。</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4.制定和实施推行全民健身和全民健康深度融合的试点工作方案。</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区政府办、区文体新局、区卫计局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675"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5.建立全民健身部门联席会议制度，成立工作领导机构。</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区政府办、区文体新局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781"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6.每年召开1次以上全民健身部门联席会议，研究、部署全民健身工作。</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区政府办、区文体新局、联席会议成员单位、各乡镇（街道）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1140"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（三）实施“四纳入”“一督查”机制。</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7.将全民健身和全民健康深度融合纳入政府重要议事日程、纳入年度财政预算和中长期预算规划、纳入政府工作报告、纳入政府绩效考核目标管理。</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区政府办、区文体新局、区卫计局、区财政局、区绩效办、各乡镇（街道）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1108"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8.建立与区人大、区政协和区委督查室、区政府督查室协调联动的重大体育工作跟踪调研和督查机制。</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区文体新局、区人大办、区政协办、区委督查室、区政府督查室、各乡镇（街道）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576" w:hRule="atLeast"/>
          <w:tblCellSpacing w:w="0" w:type="dxa"/>
        </w:trPr>
        <w:tc>
          <w:tcPr>
            <w:tcW w:w="1150"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（四）健全社会体育指导员服务长效机制。</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9.制定社会体育指导员管理制度。</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1015" w:hRule="atLeast"/>
          <w:tblCellSpacing w:w="0" w:type="dxa"/>
        </w:trPr>
        <w:tc>
          <w:tcPr>
            <w:tcW w:w="1150"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r>
              <w:rPr>
                <w:rFonts w:hint="eastAsia" w:ascii="仿宋_GB2312" w:hAnsi="仿宋_GB2312" w:eastAsia="仿宋_GB2312" w:cs="仿宋_GB2312"/>
                <w:sz w:val="22"/>
                <w:szCs w:val="22"/>
              </w:rPr>
              <w:t>三、加强组织融合。</w:t>
            </w:r>
          </w:p>
        </w:tc>
        <w:tc>
          <w:tcPr>
            <w:tcW w:w="1764"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（五）健全区、乡镇（街道）各类体育协会，壮大基层全民健身组织。</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10.辖区内100%以上的社区配备专兼职文体管理工作人员。</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spacing w:line="280" w:lineRule="exact"/>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2019年11月底前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631" w:hRule="atLeast"/>
          <w:tblCellSpacing w:w="0" w:type="dxa"/>
        </w:trPr>
        <w:tc>
          <w:tcPr>
            <w:tcW w:w="1150" w:type="dxa"/>
            <w:vMerge w:val="restart"/>
            <w:tcBorders>
              <w:top w:val="single" w:color="auto" w:sz="4" w:space="0"/>
              <w:left w:val="single" w:color="auto" w:sz="4" w:space="0"/>
              <w:right w:val="single" w:color="auto" w:sz="4" w:space="0"/>
            </w:tcBorders>
            <w:vAlign w:val="center"/>
          </w:tcPr>
          <w:p>
            <w:pPr>
              <w:pStyle w:val="6"/>
              <w:widowControl/>
              <w:jc w:val="both"/>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四、加强设施融合</w:t>
            </w:r>
          </w:p>
        </w:tc>
        <w:tc>
          <w:tcPr>
            <w:tcW w:w="1764" w:type="dxa"/>
            <w:tcBorders>
              <w:top w:val="single" w:color="auto" w:sz="4" w:space="0"/>
              <w:left w:val="single" w:color="auto" w:sz="4" w:space="0"/>
              <w:bottom w:val="single" w:color="auto" w:sz="4" w:space="0"/>
              <w:right w:val="single" w:color="auto" w:sz="4" w:space="0"/>
            </w:tcBorders>
            <w:vAlign w:val="center"/>
          </w:tcPr>
          <w:p>
            <w:pPr>
              <w:pStyle w:val="6"/>
              <w:widowControl/>
              <w:jc w:val="both"/>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（六）提高机关和企事业单位体育设施利用率。</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jc w:val="both"/>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11.做好鱼峰区文体综合楼体育馆，窑埠社区健身中心项目等体育设施向社会免费或低收费开放。</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jc w:val="both"/>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区文体新局、区财政局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both"/>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810" w:hRule="atLeast"/>
          <w:tblCellSpacing w:w="0" w:type="dxa"/>
        </w:trPr>
        <w:tc>
          <w:tcPr>
            <w:tcW w:w="1150" w:type="dxa"/>
            <w:vMerge w:val="continue"/>
            <w:tcBorders>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（七）加快推动学校体育场馆场地开放适应性改造并开放。</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12.对德润小学、柳州市八中、柳州市二十四中实行学校体育场馆向社会开放。</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区教育局、区文体新局、区财政局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645" w:hRule="atLeast"/>
          <w:tblCellSpacing w:w="0" w:type="dxa"/>
        </w:trPr>
        <w:tc>
          <w:tcPr>
            <w:tcW w:w="1150" w:type="dxa"/>
            <w:vMerge w:val="restart"/>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22"/>
                <w:szCs w:val="22"/>
              </w:rPr>
            </w:pPr>
            <w:r>
              <w:rPr>
                <w:rFonts w:hint="eastAsia" w:ascii="仿宋_GB2312" w:hAnsi="仿宋_GB2312" w:eastAsia="仿宋_GB2312" w:cs="仿宋_GB2312"/>
                <w:sz w:val="22"/>
                <w:szCs w:val="22"/>
              </w:rPr>
              <w:t>五、加强队伍融合</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（八）培训和建立涵盖城区、镇（街道）、村（社区）和各行业部门的群众体育管理和指导员队伍。</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13.举办社会体育指导员专项培训班。</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957" w:hRule="atLeast"/>
          <w:tblCellSpacing w:w="0" w:type="dxa"/>
        </w:trPr>
        <w:tc>
          <w:tcPr>
            <w:tcW w:w="1150" w:type="dxa"/>
            <w:vMerge w:val="continue"/>
            <w:tcBorders>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14.招募和培训一批志愿者为全民健身骨干队伍，为各行业、村（社区）提供全民健身指导员队伍。</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区文体新局、区委文明办、团区委、区教育局、各乡镇（街道）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766" w:hRule="atLeast"/>
          <w:tblCellSpacing w:w="0" w:type="dxa"/>
        </w:trPr>
        <w:tc>
          <w:tcPr>
            <w:tcW w:w="1150" w:type="dxa"/>
            <w:vMerge w:val="restart"/>
            <w:tcBorders>
              <w:top w:val="single" w:color="auto" w:sz="4" w:space="0"/>
              <w:left w:val="single" w:color="auto" w:sz="4" w:space="0"/>
              <w:right w:val="single" w:color="auto" w:sz="4" w:space="0"/>
            </w:tcBorders>
            <w:vAlign w:val="center"/>
          </w:tcPr>
          <w:p>
            <w:pPr>
              <w:rPr>
                <w:rFonts w:ascii="仿宋_GB2312" w:hAnsi="仿宋_GB2312" w:eastAsia="仿宋_GB2312" w:cs="仿宋_GB2312"/>
                <w:sz w:val="22"/>
                <w:szCs w:val="22"/>
              </w:rPr>
            </w:pPr>
            <w:r>
              <w:rPr>
                <w:rFonts w:hint="eastAsia" w:ascii="仿宋_GB2312" w:hAnsi="仿宋_GB2312" w:eastAsia="仿宋_GB2312" w:cs="仿宋_GB2312"/>
                <w:sz w:val="22"/>
                <w:szCs w:val="22"/>
              </w:rPr>
              <w:t>六、加强活动融合</w:t>
            </w: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（九）实施全民健身活动联动计划。</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15.每年至少开展一次部门联合开展或参与的全民健身活动。</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区文体新局、区政府各组成部门</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555" w:hRule="atLeast"/>
          <w:tblCellSpacing w:w="0" w:type="dxa"/>
        </w:trPr>
        <w:tc>
          <w:tcPr>
            <w:tcW w:w="1150" w:type="dxa"/>
            <w:vMerge w:val="continue"/>
            <w:tcBorders>
              <w:left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16.每四年至少举办1届城区级运动会</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区文体新局、区直各单位、各乡镇（街道）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720" w:hRule="atLeast"/>
          <w:tblCellSpacing w:w="0" w:type="dxa"/>
        </w:trPr>
        <w:tc>
          <w:tcPr>
            <w:tcW w:w="1150" w:type="dxa"/>
            <w:vMerge w:val="continue"/>
            <w:tcBorders>
              <w:left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restart"/>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（十）推广和发展群众喜闻乐见的体育项目；加强重点人群体育活动。</w:t>
            </w: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17.每年推广1-2个简便易行，群众喜闻乐见的体育健身项目。</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720" w:hRule="atLeast"/>
          <w:tblCellSpacing w:w="0" w:type="dxa"/>
        </w:trPr>
        <w:tc>
          <w:tcPr>
            <w:tcW w:w="1150" w:type="dxa"/>
            <w:vMerge w:val="continue"/>
            <w:tcBorders>
              <w:left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18.每年举办一次干部职工时间跨度60天以上的体育项目联赛。</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区文体新局、区总工会</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持续实施</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r>
        <w:tblPrEx>
          <w:tblLayout w:type="fixed"/>
          <w:tblCellMar>
            <w:top w:w="0" w:type="dxa"/>
            <w:left w:w="0" w:type="dxa"/>
            <w:bottom w:w="0" w:type="dxa"/>
            <w:right w:w="0" w:type="dxa"/>
          </w:tblCellMar>
        </w:tblPrEx>
        <w:trPr>
          <w:trHeight w:val="720" w:hRule="atLeast"/>
          <w:tblCellSpacing w:w="0" w:type="dxa"/>
        </w:trPr>
        <w:tc>
          <w:tcPr>
            <w:tcW w:w="1150" w:type="dxa"/>
            <w:vMerge w:val="continue"/>
            <w:tcBorders>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2"/>
                <w:szCs w:val="22"/>
              </w:rPr>
            </w:pPr>
          </w:p>
        </w:tc>
        <w:tc>
          <w:tcPr>
            <w:tcW w:w="3231"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19.2018年举办社区运动会暨全民健身活动。</w:t>
            </w:r>
          </w:p>
        </w:tc>
        <w:tc>
          <w:tcPr>
            <w:tcW w:w="2384" w:type="dxa"/>
            <w:tcBorders>
              <w:top w:val="single" w:color="auto" w:sz="4" w:space="0"/>
              <w:left w:val="single" w:color="auto" w:sz="4" w:space="0"/>
              <w:bottom w:val="single" w:color="auto" w:sz="4" w:space="0"/>
              <w:right w:val="single" w:color="auto" w:sz="4" w:space="0"/>
            </w:tcBorders>
            <w:vAlign w:val="center"/>
          </w:tcPr>
          <w:p>
            <w:pPr>
              <w:pStyle w:val="6"/>
              <w:widowControl/>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区文体新局、各乡镇（街道）</w:t>
            </w:r>
          </w:p>
        </w:tc>
        <w:tc>
          <w:tcPr>
            <w:tcW w:w="1306" w:type="dxa"/>
            <w:tcBorders>
              <w:top w:val="single" w:color="auto" w:sz="4" w:space="0"/>
              <w:left w:val="single" w:color="auto" w:sz="4" w:space="0"/>
              <w:bottom w:val="single" w:color="auto" w:sz="4" w:space="0"/>
              <w:right w:val="single" w:color="auto" w:sz="4" w:space="0"/>
            </w:tcBorders>
            <w:vAlign w:val="center"/>
          </w:tcPr>
          <w:p>
            <w:pPr>
              <w:pStyle w:val="6"/>
              <w:widowControl/>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2018年12月底前</w:t>
            </w:r>
          </w:p>
        </w:tc>
        <w:tc>
          <w:tcPr>
            <w:tcW w:w="40" w:type="dxa"/>
            <w:tcBorders>
              <w:top w:val="single" w:color="auto" w:sz="4" w:space="0"/>
              <w:left w:val="single" w:color="auto" w:sz="4" w:space="0"/>
              <w:bottom w:val="single" w:color="auto" w:sz="4" w:space="0"/>
              <w:right w:val="single" w:color="auto" w:sz="4" w:space="0"/>
            </w:tcBorders>
            <w:vAlign w:val="center"/>
          </w:tcPr>
          <w:p>
            <w:pPr>
              <w:rPr>
                <w:rFonts w:ascii="宋体"/>
                <w:sz w:val="24"/>
              </w:rPr>
            </w:pPr>
          </w:p>
        </w:tc>
      </w:tr>
    </w:tbl>
    <w:p>
      <w:pPr>
        <w:pStyle w:val="6"/>
        <w:widowControl/>
        <w:spacing w:before="0" w:beforeAutospacing="0" w:after="0" w:afterAutospacing="0" w:line="520" w:lineRule="exact"/>
        <w:ind w:firstLine="640" w:firstLineChars="200"/>
        <w:rPr>
          <w:rFonts w:ascii="仿宋_GB2312" w:hAnsi="仿宋_GB2312" w:eastAsia="仿宋_GB2312" w:cs="仿宋_GB2312"/>
          <w:color w:val="000000"/>
          <w:sz w:val="32"/>
          <w:szCs w:val="32"/>
        </w:rPr>
      </w:pPr>
    </w:p>
    <w:p>
      <w:pPr>
        <w:pStyle w:val="6"/>
        <w:widowControl/>
        <w:spacing w:before="0" w:beforeAutospacing="0" w:after="0" w:afterAutospacing="0" w:line="520" w:lineRule="exact"/>
        <w:rPr>
          <w:rFonts w:ascii="仿宋_GB2312" w:hAnsi="仿宋_GB2312" w:eastAsia="仿宋_GB2312" w:cs="仿宋_GB2312"/>
          <w:color w:val="000000"/>
          <w:sz w:val="32"/>
          <w:szCs w:val="32"/>
        </w:rPr>
      </w:pPr>
    </w:p>
    <w:p>
      <w:pPr>
        <w:pStyle w:val="6"/>
        <w:widowControl/>
        <w:spacing w:before="0" w:beforeAutospacing="0" w:after="0" w:afterAutospacing="0" w:line="520" w:lineRule="exact"/>
        <w:rPr>
          <w:rFonts w:ascii="仿宋_GB2312" w:hAnsi="仿宋_GB2312" w:eastAsia="仿宋_GB2312" w:cs="仿宋_GB2312"/>
          <w:color w:val="000000"/>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sectPr>
      <w:headerReference r:id="rId3" w:type="default"/>
      <w:footerReference r:id="rId4" w:type="default"/>
      <w:pgSz w:w="11906" w:h="16838"/>
      <w:pgMar w:top="1418" w:right="1418" w:bottom="1418" w:left="1418" w:header="851" w:footer="992" w:gutter="0"/>
      <w:pgNumType w:chapStyle="1" w:chapSep="e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imes New Roman" w:hAnsi="Times New Roman" w:cs="Times New Roman"/>
                              <w:sz w:val="28"/>
                              <w:szCs w:val="28"/>
                            </w:rPr>
                            <w:t>—</w:t>
                          </w:r>
                        </w:p>
                        <w:p>
                          <w:pPr>
                            <w:pStyle w:val="4"/>
                            <w:rPr>
                              <w:rFonts w:ascii="仿宋_GB2312" w:hAnsi="仿宋_GB2312" w:eastAsia="仿宋_GB2312" w:cs="仿宋_GB2312"/>
                              <w:sz w:val="28"/>
                              <w:szCs w:val="28"/>
                            </w:rPr>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S&#10;tO4itwEAAFQDAAAOAAAAAAAAAAEAIAAAAB4BAABkcnMvZTJvRG9jLnhtbFBLBQYAAAAABgAGAFkB&#10;AABHBQAAAAA=&#10;">
              <v:fill on="f" focussize="0,0"/>
              <v:stroke on="f"/>
              <v:imagedata o:title=""/>
              <o:lock v:ext="edit" aspectratio="f"/>
              <v:textbox inset="0mm,0mm,0mm,0mm" style="mso-fit-shape-to-text:t;">
                <w:txbxContent>
                  <w:p>
                    <w:pPr>
                      <w:pStyle w:val="4"/>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rPr>
                        <w:rFonts w:hint="eastAsia" w:ascii="Times New Roman" w:hAnsi="Times New Roman" w:cs="Times New Roman"/>
                        <w:sz w:val="28"/>
                        <w:szCs w:val="28"/>
                      </w:rPr>
                      <w:t>—</w:t>
                    </w:r>
                  </w:p>
                  <w:p>
                    <w:pPr>
                      <w:pStyle w:val="4"/>
                      <w:rPr>
                        <w:rFonts w:ascii="仿宋_GB2312" w:hAnsi="仿宋_GB2312" w:eastAsia="仿宋_GB2312" w:cs="仿宋_GB2312"/>
                        <w:sz w:val="28"/>
                        <w:szCs w:val="2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rPr>
                              <w:rFonts w:eastAsia="宋体"/>
                            </w:rPr>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6SHGZvQEAAGIDAAAOAAAAAAAAAAEAIAAAAB4BAABkcnMvZTJvRG9jLnhtbFBLBQYAAAAA&#10;BgAGAFkBAABNBQAAAAA=&#10;">
              <v:fill on="f" focussize="0,0"/>
              <v:stroke on="f"/>
              <v:imagedata o:title=""/>
              <o:lock v:ext="edit" aspectratio="f"/>
              <v:textbox inset="0mm,0mm,0mm,0mm" style="mso-fit-shape-to-text:t;">
                <w:txbxContent>
                  <w:p>
                    <w:pPr>
                      <w:pStyle w:val="4"/>
                      <w:rPr>
                        <w:rFonts w:eastAsia="宋体"/>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19"/>
    <w:rsid w:val="00020DC8"/>
    <w:rsid w:val="00075530"/>
    <w:rsid w:val="000C1353"/>
    <w:rsid w:val="000E7296"/>
    <w:rsid w:val="00134BB2"/>
    <w:rsid w:val="001518F9"/>
    <w:rsid w:val="001708CD"/>
    <w:rsid w:val="0022433D"/>
    <w:rsid w:val="00236666"/>
    <w:rsid w:val="00277B84"/>
    <w:rsid w:val="0029473D"/>
    <w:rsid w:val="002A1B91"/>
    <w:rsid w:val="002B42FE"/>
    <w:rsid w:val="002C76B7"/>
    <w:rsid w:val="002E659F"/>
    <w:rsid w:val="00310192"/>
    <w:rsid w:val="00325E03"/>
    <w:rsid w:val="00327FD3"/>
    <w:rsid w:val="00350A3D"/>
    <w:rsid w:val="004863D1"/>
    <w:rsid w:val="004B7BF9"/>
    <w:rsid w:val="00506F13"/>
    <w:rsid w:val="0055536A"/>
    <w:rsid w:val="005821D8"/>
    <w:rsid w:val="005A5688"/>
    <w:rsid w:val="005F64A2"/>
    <w:rsid w:val="006117E1"/>
    <w:rsid w:val="0062626C"/>
    <w:rsid w:val="00720C03"/>
    <w:rsid w:val="00723611"/>
    <w:rsid w:val="00764C36"/>
    <w:rsid w:val="007E0DFC"/>
    <w:rsid w:val="007E6EF0"/>
    <w:rsid w:val="00870ECE"/>
    <w:rsid w:val="008818D1"/>
    <w:rsid w:val="0094020F"/>
    <w:rsid w:val="0094494B"/>
    <w:rsid w:val="009E7B88"/>
    <w:rsid w:val="009F4B75"/>
    <w:rsid w:val="00A81010"/>
    <w:rsid w:val="00A87F4A"/>
    <w:rsid w:val="00A91302"/>
    <w:rsid w:val="00AA061B"/>
    <w:rsid w:val="00B33C50"/>
    <w:rsid w:val="00B37217"/>
    <w:rsid w:val="00B62B05"/>
    <w:rsid w:val="00B73E20"/>
    <w:rsid w:val="00B87F72"/>
    <w:rsid w:val="00C14768"/>
    <w:rsid w:val="00C158B1"/>
    <w:rsid w:val="00C83CE5"/>
    <w:rsid w:val="00CA0DFD"/>
    <w:rsid w:val="00CD40ED"/>
    <w:rsid w:val="00CE7919"/>
    <w:rsid w:val="00D33F58"/>
    <w:rsid w:val="00D83FA7"/>
    <w:rsid w:val="00DE539D"/>
    <w:rsid w:val="00E44934"/>
    <w:rsid w:val="00E6401D"/>
    <w:rsid w:val="00E7462E"/>
    <w:rsid w:val="00E94AAE"/>
    <w:rsid w:val="00FF78D4"/>
    <w:rsid w:val="01916E12"/>
    <w:rsid w:val="07B50C60"/>
    <w:rsid w:val="208E3775"/>
    <w:rsid w:val="22461DD2"/>
    <w:rsid w:val="348C56D8"/>
    <w:rsid w:val="35854A2C"/>
    <w:rsid w:val="40705C7A"/>
    <w:rsid w:val="5F9C51C0"/>
    <w:rsid w:val="65A71B5F"/>
    <w:rsid w:val="73CD0A17"/>
    <w:rsid w:val="7A530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jc w:val="left"/>
    </w:pPr>
    <w:rPr>
      <w:rFonts w:cs="Times New Roman"/>
      <w:kern w:val="0"/>
      <w:sz w:val="24"/>
    </w:rPr>
  </w:style>
  <w:style w:type="paragraph" w:styleId="7">
    <w:name w:val="Title"/>
    <w:basedOn w:val="1"/>
    <w:next w:val="1"/>
    <w:link w:val="12"/>
    <w:qFormat/>
    <w:uiPriority w:val="0"/>
    <w:pPr>
      <w:spacing w:before="240" w:after="60"/>
      <w:jc w:val="center"/>
      <w:outlineLvl w:val="0"/>
    </w:pPr>
    <w:rPr>
      <w:rFonts w:ascii="Cambria" w:hAnsi="Cambria" w:eastAsia="宋体" w:cs="Times New Roman"/>
      <w:b/>
      <w:bCs/>
      <w:kern w:val="0"/>
    </w:rPr>
  </w:style>
  <w:style w:type="character" w:styleId="9">
    <w:name w:val="page number"/>
    <w:basedOn w:val="8"/>
    <w:qFormat/>
    <w:uiPriority w:val="0"/>
  </w:style>
  <w:style w:type="character" w:styleId="10">
    <w:name w:val="Hyperlink"/>
    <w:basedOn w:val="8"/>
    <w:qFormat/>
    <w:uiPriority w:val="0"/>
    <w:rPr>
      <w:color w:val="333333"/>
      <w:u w:val="none"/>
    </w:rPr>
  </w:style>
  <w:style w:type="character" w:customStyle="1" w:styleId="12">
    <w:name w:val="标题 Char"/>
    <w:basedOn w:val="8"/>
    <w:link w:val="7"/>
    <w:uiPriority w:val="0"/>
    <w:rPr>
      <w:rFonts w:ascii="Cambria" w:hAnsi="Cambria" w:eastAsia="宋体" w:cs="Times New Roman"/>
      <w:b/>
      <w:bCs/>
      <w:sz w:val="21"/>
      <w:szCs w:val="24"/>
    </w:rPr>
  </w:style>
  <w:style w:type="paragraph" w:customStyle="1" w:styleId="13">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4">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737</Words>
  <Characters>4204</Characters>
  <Lines>35</Lines>
  <Paragraphs>9</Paragraphs>
  <TotalTime>35</TotalTime>
  <ScaleCrop>false</ScaleCrop>
  <LinksUpToDate>false</LinksUpToDate>
  <CharactersWithSpaces>4932</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2018-08-09T00:37:00Z</dcterms:created>
  <dc:creator>Administrator</dc:creator>
  <cp:lastModifiedBy>就這樣吧</cp:lastModifiedBy>
  <cp:lastPrinted>2018-09-10T01:16:00Z</cp:lastPrinted>
  <dcterms:modified xsi:type="dcterms:W3CDTF">2018-09-28T05:27:06Z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