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CESI黑体-GB2312" w:hAnsi="CESI黑体-GB2312" w:eastAsia="CESI黑体-GB2312" w:cs="CESI黑体-GB2312"/>
          <w:spacing w:val="-2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pacing w:val="-20"/>
          <w:sz w:val="32"/>
          <w:szCs w:val="32"/>
        </w:rPr>
        <w:t>附件1：</w:t>
      </w:r>
    </w:p>
    <w:p>
      <w:pPr>
        <w:spacing w:line="560" w:lineRule="exact"/>
        <w:jc w:val="left"/>
        <w:rPr>
          <w:rFonts w:ascii="仿宋_GB2312" w:eastAsia="仿宋_GB2312"/>
          <w:spacing w:val="-20"/>
          <w:sz w:val="28"/>
          <w:szCs w:val="28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年度专项债券项目绩效自评表</w:t>
      </w:r>
    </w:p>
    <w:tbl>
      <w:tblPr>
        <w:tblStyle w:val="6"/>
        <w:tblW w:w="127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338"/>
        <w:gridCol w:w="156"/>
        <w:gridCol w:w="299"/>
        <w:gridCol w:w="907"/>
        <w:gridCol w:w="20"/>
        <w:gridCol w:w="1635"/>
        <w:gridCol w:w="68"/>
        <w:gridCol w:w="753"/>
        <w:gridCol w:w="237"/>
        <w:gridCol w:w="407"/>
        <w:gridCol w:w="58"/>
        <w:gridCol w:w="522"/>
        <w:gridCol w:w="709"/>
        <w:gridCol w:w="274"/>
        <w:gridCol w:w="421"/>
        <w:gridCol w:w="324"/>
        <w:gridCol w:w="376"/>
        <w:gridCol w:w="277"/>
        <w:gridCol w:w="841"/>
        <w:gridCol w:w="13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项目编号（穿透式监测系统）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P21450203-0007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柳州市龙翔食品产业园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债券名称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2023年广西壮族自治区政府产业园区专项债券（二期）——2023年广西壮族自治区政府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专项债券（十五期）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项目单位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柳州市龙翔建设投资发展集团有限公司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项目单位主管部门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柳州市鱼峰区人民政府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项目性质</w:t>
            </w:r>
          </w:p>
        </w:tc>
        <w:tc>
          <w:tcPr>
            <w:tcW w:w="11013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新建项目(</w:t>
            </w:r>
            <w:r>
              <w:rPr>
                <w:rFonts w:ascii="Arial" w:hAnsi="Arial" w:cs="Arial"/>
                <w:kern w:val="0"/>
                <w:sz w:val="22"/>
              </w:rPr>
              <w:t>√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)  续建项目（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开竣工及收益实现时间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开工时间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2022年4月</w:t>
            </w:r>
          </w:p>
        </w:tc>
        <w:tc>
          <w:tcPr>
            <w:tcW w:w="146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竣工时间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2024年4月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项目收益实现时间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2024年5月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项目实施进度安排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951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项目总体完工率：_95_ %；具体为：8#、9#楼已经竣工交付使用；其余楼栋处于装修收尾阶段。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预计2024年8月全部竣工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项目资金来源及落实情况（万元）</w:t>
            </w:r>
          </w:p>
        </w:tc>
        <w:tc>
          <w:tcPr>
            <w:tcW w:w="43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资金来源</w:t>
            </w: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金额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（万元）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利率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（%）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占比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（%）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其中：已到位金额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到位时间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存量融资抵质押状况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-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2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其中：财政拨款（含预算内基建资金等）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其中: 中央</w:t>
            </w: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-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bookmarkStart w:id="0" w:name="_GoBack"/>
            <w:bookmarkEnd w:id="0"/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2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自治区</w:t>
            </w: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-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专项债券资金</w:t>
            </w: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14000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　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3.04%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56%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14000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2023年6月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自有资金</w:t>
            </w: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11000.52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-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44%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　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11000.52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2022年2月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非政府债券融资资金</w:t>
            </w: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其中：银行贷款</w:t>
            </w: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      其他融资资金</w:t>
            </w: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项目概况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建设地点</w:t>
            </w: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柳州市洛维工业区洛园路16号</w:t>
            </w:r>
          </w:p>
        </w:tc>
        <w:tc>
          <w:tcPr>
            <w:tcW w:w="2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2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90401.29m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立项依据</w:t>
            </w:r>
          </w:p>
        </w:tc>
        <w:tc>
          <w:tcPr>
            <w:tcW w:w="96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《关于推动工业振兴若干政策措施的通知》(桂政发[2021]5号)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项目用途</w:t>
            </w:r>
          </w:p>
        </w:tc>
        <w:tc>
          <w:tcPr>
            <w:tcW w:w="96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通过建设柳州市鱼峰区龙翔食品产业园标准厂房及配套用房等，同步建设园区道路、给水、排水、照明、电力、安防等基础设施，为工业园招商引资提供完善的基础设施保障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可行性和必要性</w:t>
            </w:r>
          </w:p>
        </w:tc>
        <w:tc>
          <w:tcPr>
            <w:tcW w:w="96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项目的建设，是中小企业，特别是小型企业和创业型企业发展的需要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;解决企业用地困难、节约化用的需要;符合工业的布局规律，是现代工业发展的客观需求;将大大强化工业园的功能和作用，拉动柳州市的经济增长;是我国食品产业产业结构调整与振兴的需要,项目的建设符合柳州市工业发展规划，是促进柳州市工业发展的需要，是推动柳州市发展的基础保障，项目得到了当地市委市政府的大力支持。所以，本项目的建设是必要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实施（建设）内容</w:t>
            </w:r>
          </w:p>
        </w:tc>
        <w:tc>
          <w:tcPr>
            <w:tcW w:w="96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项目主要建设8栋标准厂房，1栋配套用房、地下车库及园区内配套的道路、广场、路面停车场、水、电、气、安防、监控、消防等配套设施。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项目总体绩效目标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96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通过建设标准化厂房和配套用房，大力扶持食品产业发展，加强园区产业配套能力，促进园区产业集群的形成。项目建成投产后，通过引入产业链企业，提高园区产业技术水平和竞争力，推进园区产业升级与集聚，把园区建设形成区域经济新的增长点，促进柳州市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中期绩效目标（2022-2023年）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96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建设8栋标准厂房、1栋配套用房及门房、地下车库及园区内配套的道路、停车场、水、电、气、安防、监控、消防等配套设施。项目总用地面积50.725.77m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</w:rPr>
              <w:t>(76.09亩)，总建筑面积90.401.29m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</w:rPr>
              <w:t>，其中地上计容建筑面积89,227.17m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</w:rPr>
              <w:t>(配套用房7,071.72m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</w:rPr>
              <w:t>、标准厂房82,125.46m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</w:rPr>
              <w:t>、门卫30.00m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</w:rPr>
              <w:t>)，地下不计容建筑面积1.174.12m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</w:rPr>
              <w:t>(地下车库)建筑基地面积21.857.54m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vertAlign w:val="baseline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kern w:val="0"/>
                <w:sz w:val="22"/>
              </w:rPr>
              <w:t>建筑密度43.09%,容积率1.76,绿化率10%,绿地面积5.072.58m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vertAlign w:val="baseline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自评得分（满分100分）</w:t>
            </w:r>
          </w:p>
        </w:tc>
        <w:tc>
          <w:tcPr>
            <w:tcW w:w="44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  <w:t>93</w:t>
            </w:r>
          </w:p>
        </w:tc>
        <w:tc>
          <w:tcPr>
            <w:tcW w:w="2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专项债券支出进度（10分）</w:t>
            </w:r>
          </w:p>
        </w:tc>
        <w:tc>
          <w:tcPr>
            <w:tcW w:w="39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项目绩效目标衡量指标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一级指标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二级指标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指标内容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指标值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分值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完成情况简述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偏差原因及改进措施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22"/>
              </w:rPr>
              <w:t>（50分。其中：产出数量、质量、时效、成本分别为20分、10分、10分、10分）</w:t>
            </w:r>
          </w:p>
        </w:tc>
        <w:tc>
          <w:tcPr>
            <w:tcW w:w="13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产出数量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指标1：标准厂房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8栋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已完成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指标2：配套用房及门房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1栋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已完成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产出质量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指标1：项目竣工验收合格率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%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目前已完成8#、9#栋厂房验收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剩余部分预计2024年8月全部完成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指标2：项目设计变更率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%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%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产出时效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指标1：开工时间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2022年4月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2022年4月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指标2：完工时间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2024年4月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预估2024.8竣工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产出成本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指标1：融资成本　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980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万元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425.6万元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36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指标2：按时还本付息率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100%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100%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一级指标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二级指标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指标内容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指标值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分值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完成情况简述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偏差原因及改进措施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效果指标</w:t>
            </w:r>
            <w:r>
              <w:rPr>
                <w:rFonts w:hint="eastAsia" w:ascii="宋体" w:hAnsi="宋体" w:cs="宋体"/>
                <w:kern w:val="0"/>
                <w:sz w:val="22"/>
              </w:rPr>
              <w:t>（30分）</w:t>
            </w:r>
          </w:p>
        </w:tc>
        <w:tc>
          <w:tcPr>
            <w:tcW w:w="13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经济效益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指标1：带动社会投资情况　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带动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企业投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5000万元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已完成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6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指标2：项目综合收益情况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目前项目8#、9#栋厂房已开始进入试运营项目收益为142.32万元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待2024年8月项目全部验收完成正式进入运营阶段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社会效益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指标1：新增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就业人员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100人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已完成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36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指标2：新增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入驻企业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10家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已完成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生态效益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指标1：绿化率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10%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  <w:tc>
          <w:tcPr>
            <w:tcW w:w="136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指标2：运营期环境保护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达到环保部门要求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已完成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可持续影响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指标1：项目形成资产使用年限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  <w:tc>
          <w:tcPr>
            <w:tcW w:w="136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指标2：项目可持续收益年限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一级指标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二级指标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指标内容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指标值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分值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完成情况简述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偏差原因及改进措施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社会公众或服务对象满意度（10分）</w:t>
            </w:r>
          </w:p>
        </w:tc>
        <w:tc>
          <w:tcPr>
            <w:tcW w:w="13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——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园区员工满意度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100%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100%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  <w:tc>
          <w:tcPr>
            <w:tcW w:w="136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指标2：入驻企业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满意度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100%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100%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73" w:type="dxa"/>
            <w:gridSpan w:val="2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2"/>
              </w:rPr>
              <w:t>备注：1.“分值”列请按照一二级指标对三级指标进行赋分”，“完成情况简述”列请对该指标完成情况进行简要描述。未完成指标、超额完成指标、其他原因调减得分的必须填写“偏差原因及改进措施”。2.“专项债券支出进度”根据完成支出比例计分。3.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定量指标得分:按照完成比例计分，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完成指标值得满分；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未完成指标值或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完成值高于指标值较多（30%及以上）的，要分析原因，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属于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年初指标值设定明显偏低造成的，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应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按照偏离度适度调减分值。定性指标得分:根据指标完成情况分为达成年度指标、部分达成年度指标并具有一定效果、未达成年度指标且效果较差三档，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分别计指标分值的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 xml:space="preserve"> 100%— 80%(含)、80%—60%(含)、60%—0%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7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YWFhMDQ1NmQwZjVmYWM2OWEyMDU0N2VjMmU3ZWIifQ=="/>
    <w:docVar w:name="KSO_WPS_MARK_KEY" w:val="8f3a35a5-5c22-4ac9-95c6-306e92a03494"/>
  </w:docVars>
  <w:rsids>
    <w:rsidRoot w:val="7BAED7E1"/>
    <w:rsid w:val="001150EA"/>
    <w:rsid w:val="0048451C"/>
    <w:rsid w:val="00713C7E"/>
    <w:rsid w:val="009F4FDD"/>
    <w:rsid w:val="00DC6AC6"/>
    <w:rsid w:val="00E87C0E"/>
    <w:rsid w:val="02BC4FBF"/>
    <w:rsid w:val="079F6FD8"/>
    <w:rsid w:val="0FD91A98"/>
    <w:rsid w:val="25701019"/>
    <w:rsid w:val="397A5908"/>
    <w:rsid w:val="443864D4"/>
    <w:rsid w:val="450A06D2"/>
    <w:rsid w:val="50865448"/>
    <w:rsid w:val="5415152B"/>
    <w:rsid w:val="624E2B27"/>
    <w:rsid w:val="6E125E00"/>
    <w:rsid w:val="79821710"/>
    <w:rsid w:val="7BAED7E1"/>
    <w:rsid w:val="BBBE8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100" w:firstLineChars="100"/>
    </w:pPr>
    <w:rPr>
      <w:rFonts w:eastAsia="仿宋_GB2312"/>
      <w:sz w:val="32"/>
    </w:rPr>
  </w:style>
  <w:style w:type="paragraph" w:styleId="3">
    <w:name w:val="Body Text"/>
    <w:basedOn w:val="1"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1894</Words>
  <Characters>2197</Characters>
  <Lines>17</Lines>
  <Paragraphs>4</Paragraphs>
  <TotalTime>4</TotalTime>
  <ScaleCrop>false</ScaleCrop>
  <LinksUpToDate>false</LinksUpToDate>
  <CharactersWithSpaces>2299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2023-03-24T07:23:00Z</dcterms:created>
  <dc:creator>卢恒斌</dc:creator>
  <cp:lastModifiedBy>Wonderful fate</cp:lastModifiedBy>
  <dcterms:modified xsi:type="dcterms:W3CDTF">2024-07-10T07:25:04Z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1B13C2F0D09F4505980AA24AB8CAFC90_13</vt:lpwstr>
  </property>
</Properties>
</file>