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sz w:val="32"/>
          <w:szCs w:val="32"/>
        </w:rPr>
      </w:pPr>
      <w:bookmarkStart w:id="0" w:name="_GoBack"/>
      <w:bookmarkEnd w:id="0"/>
    </w:p>
    <w:p>
      <w:pPr>
        <w:spacing w:line="540" w:lineRule="exact"/>
        <w:jc w:val="center"/>
        <w:rPr>
          <w:rFonts w:eastAsia="方正小标宋简体"/>
          <w:sz w:val="44"/>
          <w:szCs w:val="44"/>
        </w:rPr>
      </w:pPr>
      <w:r>
        <w:rPr>
          <w:rFonts w:eastAsia="方正小标宋简体"/>
          <w:sz w:val="44"/>
          <w:szCs w:val="44"/>
        </w:rPr>
        <w:t>【</w:t>
      </w:r>
      <w:r>
        <w:rPr>
          <w:rFonts w:hint="eastAsia" w:eastAsia="方正小标宋简体"/>
          <w:sz w:val="44"/>
          <w:szCs w:val="44"/>
        </w:rPr>
        <w:t>330001鱼峰区城市管理行政执法局</w:t>
      </w:r>
      <w:r>
        <w:rPr>
          <w:rFonts w:eastAsia="方正小标宋简体"/>
          <w:sz w:val="44"/>
          <w:szCs w:val="44"/>
        </w:rPr>
        <w:t>】2023年单位预算公开说明</w:t>
      </w:r>
    </w:p>
    <w:p>
      <w:pPr>
        <w:spacing w:line="540" w:lineRule="exact"/>
        <w:rPr>
          <w:rFonts w:eastAsia="方正小标宋简体"/>
          <w:sz w:val="44"/>
          <w:szCs w:val="44"/>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目 录</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rPr>
        <w:t>鱼峰区城市管理行政执法局</w:t>
      </w:r>
      <w:r>
        <w:rPr>
          <w:rFonts w:ascii="Times New Roman" w:hAnsi="Times New Roman" w:eastAsia="仿宋_GB2312" w:cs="Times New Roman"/>
          <w:b/>
          <w:bCs/>
          <w:color w:val="000000"/>
          <w:sz w:val="32"/>
          <w:szCs w:val="32"/>
        </w:rPr>
        <w:t>概况</w:t>
      </w:r>
    </w:p>
    <w:p>
      <w:pPr>
        <w:pStyle w:val="5"/>
        <w:spacing w:before="0" w:beforeAutospacing="0" w:after="0" w:afterAutospacing="0" w:line="6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5"/>
        <w:spacing w:before="0" w:beforeAutospacing="0" w:after="0" w:afterAutospacing="0" w:line="600" w:lineRule="exact"/>
        <w:ind w:firstLine="640" w:firstLineChars="200"/>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第二部分：</w:t>
      </w:r>
      <w:r>
        <w:rPr>
          <w:rFonts w:hint="eastAsia" w:ascii="Times New Roman" w:hAnsi="Times New Roman" w:eastAsia="仿宋_GB2312" w:cs="Times New Roman"/>
          <w:b/>
          <w:bCs/>
          <w:color w:val="000000"/>
          <w:sz w:val="32"/>
          <w:szCs w:val="32"/>
        </w:rPr>
        <w:t>鱼峰区城市管理行政执法局</w:t>
      </w:r>
      <w:r>
        <w:rPr>
          <w:rFonts w:ascii="Times New Roman" w:hAnsi="Times New Roman" w:eastAsia="仿宋_GB2312" w:cs="Times New Roman"/>
          <w:b/>
          <w:bCs/>
          <w:color w:val="000000"/>
          <w:sz w:val="32"/>
          <w:szCs w:val="32"/>
        </w:rPr>
        <w:t>2023年单位预算情况说明</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第三部分：</w:t>
      </w:r>
      <w:r>
        <w:rPr>
          <w:rFonts w:hint="eastAsia" w:ascii="Times New Roman" w:hAnsi="Times New Roman" w:eastAsia="仿宋_GB2312" w:cs="Times New Roman"/>
          <w:b/>
          <w:bCs/>
          <w:color w:val="000000"/>
          <w:sz w:val="32"/>
          <w:szCs w:val="32"/>
        </w:rPr>
        <w:t>鱼峰区城市管理行政执法局</w:t>
      </w:r>
      <w:r>
        <w:rPr>
          <w:rFonts w:ascii="Times New Roman" w:hAnsi="Times New Roman" w:eastAsia="仿宋_GB2312" w:cs="Times New Roman"/>
          <w:b/>
          <w:bCs/>
          <w:color w:val="000000"/>
          <w:sz w:val="32"/>
          <w:szCs w:val="32"/>
        </w:rPr>
        <w:t>2023年单位预算报表</w:t>
      </w: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5"/>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8"/>
          <w:rFonts w:eastAsia="仿宋_GB2312"/>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第一部分：</w:t>
      </w:r>
      <w:r>
        <w:rPr>
          <w:rFonts w:hint="eastAsia" w:eastAsia="黑体"/>
          <w:color w:val="000000"/>
          <w:kern w:val="0"/>
          <w:sz w:val="32"/>
          <w:szCs w:val="32"/>
        </w:rPr>
        <w:t>鱼峰区城市管理行政执法局</w:t>
      </w:r>
      <w:r>
        <w:rPr>
          <w:rFonts w:eastAsia="黑体"/>
          <w:color w:val="000000"/>
          <w:kern w:val="0"/>
          <w:sz w:val="32"/>
          <w:szCs w:val="32"/>
        </w:rPr>
        <w:t>概况</w:t>
      </w:r>
    </w:p>
    <w:p>
      <w:pPr>
        <w:pStyle w:val="5"/>
        <w:spacing w:before="0" w:beforeAutospacing="0" w:after="0" w:afterAutospacing="0"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一、主要职责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color w:val="000000"/>
          <w:sz w:val="32"/>
          <w:szCs w:val="32"/>
        </w:rPr>
        <w:t>一）贯彻执行国家、自治区关于相对集中行使行政处罚权的有关法律、</w:t>
      </w:r>
      <w:r>
        <w:rPr>
          <w:rFonts w:hint="eastAsia" w:ascii="仿宋_GB2312" w:hAnsi="仿宋_GB2312" w:eastAsia="仿宋_GB2312" w:cs="仿宋_GB2312"/>
          <w:snapToGrid w:val="0"/>
          <w:color w:val="000000"/>
          <w:kern w:val="0"/>
          <w:sz w:val="32"/>
          <w:szCs w:val="32"/>
        </w:rPr>
        <w:t>法规</w:t>
      </w:r>
      <w:r>
        <w:rPr>
          <w:rFonts w:hint="eastAsia" w:ascii="仿宋_GB2312" w:hAnsi="仿宋_GB2312" w:eastAsia="仿宋_GB2312" w:cs="仿宋_GB2312"/>
          <w:color w:val="000000"/>
          <w:sz w:val="32"/>
          <w:szCs w:val="32"/>
        </w:rPr>
        <w:t>、规章和有关政策，并组织实施。制定辖区城市管理和城市管理行政执法的责任制度和工作规划，并按管理权限组织实施和</w:t>
      </w:r>
      <w:r>
        <w:rPr>
          <w:rFonts w:hint="eastAsia" w:ascii="仿宋_GB2312" w:hAnsi="仿宋_GB2312" w:eastAsia="仿宋_GB2312" w:cs="仿宋_GB2312"/>
          <w:sz w:val="32"/>
          <w:szCs w:val="32"/>
        </w:rPr>
        <w:t>监督检查。掌握、分析辖区城市管理行政执法工作情况，为城区政府加强城市管理的各项决策提供重要信息和决策建议。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lang w:bidi="ar"/>
        </w:rPr>
        <w:t>（二）</w:t>
      </w:r>
      <w:r>
        <w:rPr>
          <w:rFonts w:hint="eastAsia" w:ascii="仿宋_GB2312" w:hAnsi="仿宋_GB2312" w:eastAsia="仿宋_GB2312" w:cs="仿宋_GB2312"/>
          <w:sz w:val="32"/>
          <w:szCs w:val="32"/>
        </w:rPr>
        <w:t>研究部署辖区城市管理行政执法工作，对城区范围内城市管理行政执法工作进行综合管理，负责与城市管理密切相关的应急管理。</w:t>
      </w:r>
      <w:r>
        <w:rPr>
          <w:rFonts w:hint="eastAsia" w:ascii="仿宋_GB2312" w:hAnsi="仿宋_GB2312" w:eastAsia="仿宋_GB2312" w:cs="仿宋_GB2312"/>
          <w:color w:val="000000"/>
          <w:sz w:val="32"/>
          <w:szCs w:val="32"/>
        </w:rPr>
        <w:t>研究起草城区城市管理综合执法规范性文件并组织实施。负责辖区智慧化城市管理工作。</w:t>
      </w:r>
    </w:p>
    <w:p>
      <w:pPr>
        <w:spacing w:line="57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（三）区城市管理行政执法局具有行政执法主体资格，在城市规划区范围内开展城市管理相对集中行政处罚权工作。</w:t>
      </w:r>
    </w:p>
    <w:p>
      <w:pPr>
        <w:spacing w:line="520" w:lineRule="exact"/>
        <w:ind w:firstLine="63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sz w:val="32"/>
          <w:szCs w:val="32"/>
        </w:rPr>
        <w:t>负责辖区城市管理行政执法队伍建设，对辖区城市管理行政执法人员和城市管理执法协勤员行使职权情况实施督查，负责区城市管理行政执法局行政案件的审批和应诉工作，负责承办区城市管理行政执法局复议案件的答复工作。</w:t>
      </w:r>
    </w:p>
    <w:p>
      <w:pPr>
        <w:spacing w:line="560" w:lineRule="exact"/>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（五）按</w:t>
      </w:r>
      <w:r>
        <w:rPr>
          <w:rFonts w:hint="eastAsia" w:ascii="仿宋_GB2312" w:hAnsi="仿宋_GB2312" w:eastAsia="仿宋_GB2312" w:cs="仿宋_GB2312"/>
          <w:sz w:val="32"/>
          <w:szCs w:val="32"/>
        </w:rPr>
        <w:t>管理权限，负责辖区城管执法协勤员招聘相关工作；负责辖区城市管理行政执法人员和协勤员的培训、教育</w:t>
      </w:r>
      <w:r>
        <w:rPr>
          <w:rFonts w:hint="eastAsia" w:ascii="仿宋_GB2312" w:hAnsi="仿宋_GB2312" w:eastAsia="仿宋_GB2312" w:cs="仿宋_GB2312"/>
          <w:color w:val="000000"/>
          <w:sz w:val="32"/>
          <w:szCs w:val="32"/>
        </w:rPr>
        <w:t>和年度考核工作。</w:t>
      </w:r>
    </w:p>
    <w:p>
      <w:pPr>
        <w:spacing w:line="560" w:lineRule="exact"/>
        <w:ind w:firstLine="480" w:firstLineChars="15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sz w:val="32"/>
          <w:szCs w:val="32"/>
        </w:rPr>
        <w:t xml:space="preserve">根据有关市容环境卫生管理的方针政策和法律法规，制定相关规范性文件并组织实施；负责编制辖区市容和环境卫生工作规划、计划，并组织实施；负责违规户外广告的查处；拟定城区城市市容环境综合整治计划。 </w:t>
      </w:r>
    </w:p>
    <w:p>
      <w:pPr>
        <w:pStyle w:val="5"/>
        <w:spacing w:before="0" w:beforeAutospacing="0" w:after="0" w:afterAutospacing="0" w:line="560" w:lineRule="exact"/>
        <w:ind w:firstLine="640" w:firstLineChars="200"/>
        <w:rPr>
          <w:rFonts w:ascii="仿宋_GB2312" w:hAnsi="华文仿宋" w:eastAsia="仿宋_GB2312"/>
          <w:bCs/>
          <w:color w:val="000000"/>
          <w:sz w:val="32"/>
          <w:szCs w:val="32"/>
        </w:rPr>
      </w:pPr>
      <w:r>
        <w:rPr>
          <w:rFonts w:hint="eastAsia" w:ascii="仿宋_GB2312" w:hAnsi="仿宋_GB2312" w:eastAsia="仿宋_GB2312" w:cs="仿宋_GB2312"/>
          <w:color w:val="000000"/>
          <w:sz w:val="32"/>
          <w:szCs w:val="32"/>
        </w:rPr>
        <w:t>（七）负责规范辖区市容环境卫生管理并对其行业进行监管；指导环卫设施建设；组织市容环境卫生科学技术研究</w:t>
      </w:r>
      <w:r>
        <w:rPr>
          <w:rFonts w:hint="eastAsia" w:ascii="仿宋_GB2312" w:hAnsi="仿宋_GB2312" w:eastAsia="仿宋_GB2312" w:cs="仿宋_GB2312"/>
          <w:sz w:val="32"/>
          <w:szCs w:val="32"/>
        </w:rPr>
        <w:t>；开展市容环境卫生管理的宣传教育、信息交流活动。</w:t>
      </w:r>
    </w:p>
    <w:p>
      <w:pPr>
        <w:pStyle w:val="5"/>
        <w:spacing w:before="0" w:beforeAutospacing="0" w:after="0" w:afterAutospacing="0" w:line="560" w:lineRule="exact"/>
        <w:rPr>
          <w:rFonts w:ascii="仿宋_GB2312" w:hAnsi="华文仿宋" w:eastAsia="仿宋_GB2312"/>
          <w:bCs/>
          <w:color w:val="000000"/>
          <w:sz w:val="32"/>
          <w:szCs w:val="32"/>
        </w:rPr>
      </w:pPr>
    </w:p>
    <w:p>
      <w:pPr>
        <w:pStyle w:val="2"/>
        <w:adjustRightInd w:val="0"/>
        <w:snapToGrid w:val="0"/>
        <w:spacing w:after="0" w:line="600" w:lineRule="exact"/>
        <w:ind w:firstLine="643" w:firstLineChars="200"/>
        <w:rPr>
          <w:rFonts w:ascii="仿宋_GB2312" w:hAnsi="仿宋" w:eastAsia="仿宋_GB2312"/>
          <w:b/>
          <w:bCs/>
          <w:sz w:val="32"/>
          <w:szCs w:val="32"/>
        </w:rPr>
      </w:pPr>
    </w:p>
    <w:p>
      <w:pPr>
        <w:pStyle w:val="5"/>
        <w:spacing w:before="0" w:beforeAutospacing="0" w:after="0" w:afterAutospacing="0" w:line="60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二、机构设置情况</w:t>
      </w:r>
    </w:p>
    <w:p>
      <w:pPr>
        <w:spacing w:line="560" w:lineRule="exact"/>
        <w:ind w:firstLine="640" w:firstLineChars="200"/>
        <w:rPr>
          <w:rFonts w:ascii="仿宋_GB2312" w:hAnsi="华文仿宋" w:eastAsia="仿宋_GB2312"/>
          <w:color w:val="000000"/>
          <w:sz w:val="32"/>
          <w:szCs w:val="32"/>
        </w:rPr>
      </w:pPr>
      <w:r>
        <w:rPr>
          <w:rFonts w:hint="eastAsia" w:ascii="仿宋_GB2312" w:eastAsia="仿宋_GB2312" w:cs="仿宋_GB2312"/>
          <w:sz w:val="32"/>
          <w:szCs w:val="32"/>
        </w:rPr>
        <w:t>鱼峰区城市管理行政执法局共有直属单位</w:t>
      </w:r>
      <w:r>
        <w:rPr>
          <w:rFonts w:ascii="仿宋_GB2312" w:eastAsia="仿宋_GB2312" w:cs="仿宋_GB2312"/>
          <w:sz w:val="32"/>
          <w:szCs w:val="32"/>
        </w:rPr>
        <w:t>1</w:t>
      </w:r>
      <w:r>
        <w:rPr>
          <w:rFonts w:hint="eastAsia" w:ascii="仿宋_GB2312" w:eastAsia="仿宋_GB2312" w:cs="仿宋_GB2312"/>
          <w:sz w:val="32"/>
          <w:szCs w:val="32"/>
        </w:rPr>
        <w:t>个，其中行政单位</w:t>
      </w:r>
      <w:r>
        <w:rPr>
          <w:rFonts w:ascii="仿宋_GB2312" w:eastAsia="仿宋_GB2312" w:cs="仿宋_GB2312"/>
          <w:sz w:val="32"/>
          <w:szCs w:val="32"/>
        </w:rPr>
        <w:t>1</w:t>
      </w:r>
      <w:r>
        <w:rPr>
          <w:rFonts w:hint="eastAsia" w:ascii="仿宋_GB2312" w:eastAsia="仿宋_GB2312" w:cs="仿宋_GB2312"/>
          <w:sz w:val="32"/>
          <w:szCs w:val="32"/>
        </w:rPr>
        <w:t>个，局属参照公务员管理事业单位1个。行政单位是鱼峰区城市管理行政执法局，局属参照公务员管理事业单位是鱼峰区控制和查处违法建设大队。</w:t>
      </w:r>
    </w:p>
    <w:p>
      <w:pPr>
        <w:spacing w:line="60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（一）行政单位</w:t>
      </w:r>
      <w:r>
        <w:rPr>
          <w:rFonts w:hint="eastAsia" w:ascii="仿宋_GB2312" w:hAnsi="仿宋_GB2312" w:eastAsia="仿宋_GB2312" w:cs="仿宋_GB2312"/>
          <w:bCs/>
          <w:color w:val="000000"/>
          <w:sz w:val="32"/>
          <w:szCs w:val="32"/>
        </w:rPr>
        <w:t>1个，</w:t>
      </w:r>
      <w:r>
        <w:rPr>
          <w:rFonts w:hint="eastAsia" w:ascii="仿宋_GB2312" w:hAnsi="仿宋_GB2312" w:eastAsia="仿宋_GB2312" w:cs="仿宋_GB2312"/>
          <w:bCs/>
          <w:color w:val="000000"/>
          <w:kern w:val="0"/>
          <w:sz w:val="32"/>
          <w:szCs w:val="32"/>
        </w:rPr>
        <w:t>为</w:t>
      </w:r>
      <w:r>
        <w:rPr>
          <w:rFonts w:hint="eastAsia" w:ascii="仿宋_GB2312" w:eastAsia="仿宋_GB2312" w:cs="仿宋_GB2312"/>
          <w:sz w:val="32"/>
          <w:szCs w:val="32"/>
        </w:rPr>
        <w:t>鱼峰区城市管理行政执法局</w:t>
      </w:r>
      <w:r>
        <w:rPr>
          <w:rFonts w:hint="eastAsia" w:ascii="仿宋_GB2312" w:hAnsi="仿宋_GB2312" w:eastAsia="仿宋_GB2312" w:cs="仿宋_GB2312"/>
          <w:bCs/>
          <w:color w:val="000000"/>
          <w:kern w:val="0"/>
          <w:sz w:val="32"/>
          <w:szCs w:val="32"/>
        </w:rPr>
        <w:t>。</w:t>
      </w:r>
    </w:p>
    <w:p>
      <w:pPr>
        <w:spacing w:line="560" w:lineRule="exact"/>
        <w:ind w:firstLine="640" w:firstLineChars="200"/>
        <w:rPr>
          <w:rFonts w:ascii="仿宋_GB2312" w:hAnsi="华文仿宋" w:eastAsia="仿宋_GB2312"/>
          <w:color w:val="000000"/>
          <w:sz w:val="32"/>
          <w:szCs w:val="32"/>
        </w:rPr>
      </w:pPr>
      <w:r>
        <w:rPr>
          <w:rFonts w:hint="eastAsia" w:ascii="仿宋_GB2312" w:hAnsi="仿宋_GB2312" w:eastAsia="仿宋_GB2312" w:cs="仿宋_GB2312"/>
          <w:bCs/>
          <w:color w:val="000000"/>
          <w:kern w:val="0"/>
          <w:sz w:val="32"/>
          <w:szCs w:val="32"/>
        </w:rPr>
        <w:t>（二）参照公务员管理事业单位</w:t>
      </w:r>
      <w:r>
        <w:rPr>
          <w:rFonts w:hint="eastAsia" w:ascii="仿宋_GB2312" w:hAnsi="仿宋_GB2312" w:eastAsia="仿宋_GB2312" w:cs="仿宋_GB2312"/>
          <w:bCs/>
          <w:color w:val="000000"/>
          <w:sz w:val="32"/>
          <w:szCs w:val="32"/>
        </w:rPr>
        <w:t>1个，为</w:t>
      </w:r>
      <w:r>
        <w:rPr>
          <w:rFonts w:hint="eastAsia" w:ascii="仿宋_GB2312" w:eastAsia="仿宋_GB2312" w:cs="仿宋_GB2312"/>
          <w:sz w:val="32"/>
          <w:szCs w:val="32"/>
        </w:rPr>
        <w:t>鱼峰区控制和查处违法建设大队。</w:t>
      </w:r>
    </w:p>
    <w:p>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单位人员编制总数为79人，其中行政编制4人，参公编编制75人。实有财政供养人数52人，其中行政在职4人，参公编在职48人。</w:t>
      </w:r>
    </w:p>
    <w:p>
      <w:pPr>
        <w:pStyle w:val="5"/>
        <w:spacing w:before="0" w:beforeAutospacing="0" w:after="0" w:afterAutospacing="0" w:line="6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具体情况如下：</w:t>
      </w:r>
    </w:p>
    <w:p>
      <w:pPr>
        <w:pStyle w:val="5"/>
        <w:spacing w:before="0" w:beforeAutospacing="0" w:after="0" w:afterAutospacing="0" w:line="6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1.本级：人员编制总数为4人，其中行政编制4人。实有财政供养人数4人，其中行政在职4人。 </w:t>
      </w:r>
    </w:p>
    <w:p>
      <w:pPr>
        <w:pStyle w:val="5"/>
        <w:spacing w:before="0" w:beforeAutospacing="0" w:after="0" w:afterAutospacing="0" w:line="60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2.所属单位 ：人员编制总数为75人，其中参公编制75人。实有财政供养人数48人，其中参公编在职48人。</w:t>
      </w:r>
    </w:p>
    <w:p>
      <w:pPr>
        <w:pStyle w:val="5"/>
        <w:spacing w:before="0" w:beforeAutospacing="0" w:after="0" w:afterAutospacing="0" w:line="540" w:lineRule="exact"/>
        <w:jc w:val="both"/>
        <w:rPr>
          <w:rFonts w:ascii="Times New Roman" w:hAnsi="Times New Roman" w:eastAsia="仿宋_GB2312" w:cs="Times New Roman"/>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第二部分：</w:t>
      </w:r>
      <w:r>
        <w:rPr>
          <w:rFonts w:hint="eastAsia" w:eastAsia="黑体"/>
          <w:color w:val="000000"/>
          <w:kern w:val="0"/>
          <w:sz w:val="32"/>
          <w:szCs w:val="32"/>
        </w:rPr>
        <w:t>鱼峰区城市管理行政执法局</w:t>
      </w:r>
      <w:r>
        <w:rPr>
          <w:rFonts w:eastAsia="黑体"/>
          <w:color w:val="000000"/>
          <w:kern w:val="0"/>
          <w:sz w:val="32"/>
          <w:szCs w:val="32"/>
        </w:rPr>
        <w:t>2023年单位预算情况说明</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2023年单位收支总预算</w:t>
      </w:r>
      <w:r>
        <w:rPr>
          <w:rFonts w:hint="eastAsia" w:ascii="Times New Roman" w:hAnsi="Times New Roman" w:eastAsia="仿宋_GB2312" w:cs="Times New Roman"/>
          <w:kern w:val="2"/>
          <w:sz w:val="32"/>
          <w:szCs w:val="32"/>
        </w:rPr>
        <w:t>3630.62</w:t>
      </w:r>
      <w:r>
        <w:rPr>
          <w:rFonts w:ascii="Times New Roman" w:hAnsi="Times New Roman" w:eastAsia="仿宋_GB2312" w:cs="Times New Roman"/>
          <w:kern w:val="2"/>
          <w:sz w:val="32"/>
          <w:szCs w:val="32"/>
        </w:rPr>
        <w:t>万元，同比减少</w:t>
      </w:r>
      <w:r>
        <w:rPr>
          <w:rFonts w:hint="eastAsia" w:ascii="Times New Roman" w:hAnsi="Times New Roman" w:eastAsia="仿宋_GB2312" w:cs="Times New Roman"/>
          <w:kern w:val="2"/>
          <w:sz w:val="32"/>
          <w:szCs w:val="32"/>
        </w:rPr>
        <w:t>149.43</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rPr>
        <w:t>3.95</w:t>
      </w:r>
      <w:r>
        <w:rPr>
          <w:rFonts w:ascii="Times New Roman" w:hAnsi="Times New Roman" w:eastAsia="仿宋_GB2312" w:cs="Times New Roman"/>
          <w:kern w:val="2"/>
          <w:sz w:val="32"/>
          <w:szCs w:val="32"/>
        </w:rPr>
        <w:t>%，收入包括</w:t>
      </w:r>
      <w:r>
        <w:rPr>
          <w:rFonts w:hint="eastAsia" w:ascii="Times New Roman" w:hAnsi="Times New Roman" w:eastAsia="仿宋_GB2312" w:cs="Times New Roman"/>
          <w:kern w:val="2"/>
          <w:sz w:val="32"/>
          <w:szCs w:val="32"/>
        </w:rPr>
        <w:t>一般公共预算3630.62万元</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rPr>
        <w:t>一般公共服务支出11.75万元，科学技术支出4万元，社会保障和就业支出4万元，卫生健康支出82.27万元，城乡社区支出3321.18万元，住房保障支出70.47万元。</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二、单位收入预算情况说明</w:t>
      </w:r>
    </w:p>
    <w:p>
      <w:pPr>
        <w:spacing w:line="540" w:lineRule="exact"/>
        <w:ind w:firstLine="640" w:firstLineChars="200"/>
        <w:rPr>
          <w:rFonts w:eastAsia="仿宋_GB2312"/>
          <w:sz w:val="32"/>
          <w:szCs w:val="32"/>
        </w:rPr>
      </w:pPr>
      <w:r>
        <w:rPr>
          <w:rFonts w:eastAsia="仿宋_GB2312"/>
          <w:color w:val="000000"/>
          <w:sz w:val="32"/>
          <w:szCs w:val="32"/>
        </w:rPr>
        <w:t>2023年单位收入总预算</w:t>
      </w:r>
      <w:r>
        <w:rPr>
          <w:rFonts w:hint="eastAsia" w:eastAsia="仿宋_GB2312"/>
          <w:color w:val="000000"/>
          <w:sz w:val="32"/>
          <w:szCs w:val="32"/>
        </w:rPr>
        <w:t>3630.62</w:t>
      </w:r>
      <w:r>
        <w:rPr>
          <w:rFonts w:eastAsia="仿宋_GB2312"/>
          <w:color w:val="000000"/>
          <w:sz w:val="32"/>
          <w:szCs w:val="32"/>
        </w:rPr>
        <w:t>万元，</w:t>
      </w:r>
      <w:r>
        <w:rPr>
          <w:rFonts w:eastAsia="仿宋_GB2312"/>
          <w:sz w:val="32"/>
          <w:szCs w:val="32"/>
        </w:rPr>
        <w:t>同比减</w:t>
      </w:r>
      <w:r>
        <w:rPr>
          <w:rFonts w:hint="eastAsia" w:eastAsia="仿宋_GB2312"/>
          <w:sz w:val="32"/>
          <w:szCs w:val="32"/>
        </w:rPr>
        <w:t>少149.43</w:t>
      </w:r>
      <w:r>
        <w:rPr>
          <w:rFonts w:eastAsia="仿宋_GB2312"/>
          <w:sz w:val="32"/>
          <w:szCs w:val="32"/>
        </w:rPr>
        <w:t>万元，同比下</w:t>
      </w:r>
      <w:r>
        <w:rPr>
          <w:rFonts w:hint="eastAsia" w:eastAsia="仿宋_GB2312"/>
          <w:sz w:val="32"/>
          <w:szCs w:val="32"/>
        </w:rPr>
        <w:t>降3.95</w:t>
      </w:r>
      <w:r>
        <w:rPr>
          <w:rFonts w:eastAsia="仿宋_GB2312"/>
          <w:sz w:val="32"/>
          <w:szCs w:val="32"/>
        </w:rPr>
        <w:t>%。</w:t>
      </w:r>
    </w:p>
    <w:p>
      <w:pPr>
        <w:spacing w:line="540" w:lineRule="exact"/>
        <w:ind w:firstLine="640" w:firstLineChars="200"/>
        <w:rPr>
          <w:rFonts w:eastAsia="仿宋_GB2312"/>
          <w:sz w:val="32"/>
          <w:szCs w:val="32"/>
        </w:rPr>
      </w:pPr>
      <w:r>
        <w:rPr>
          <w:rFonts w:eastAsia="仿宋_GB2312"/>
          <w:color w:val="000000"/>
          <w:sz w:val="32"/>
          <w:szCs w:val="32"/>
        </w:rPr>
        <w:t>一般公共预算拨款</w:t>
      </w:r>
      <w:r>
        <w:rPr>
          <w:rFonts w:hint="eastAsia" w:eastAsia="仿宋_GB2312"/>
          <w:color w:val="000000"/>
          <w:sz w:val="32"/>
          <w:szCs w:val="32"/>
        </w:rPr>
        <w:t>3630.62</w:t>
      </w:r>
      <w:r>
        <w:rPr>
          <w:rFonts w:eastAsia="仿宋_GB2312"/>
          <w:color w:val="000000"/>
          <w:sz w:val="32"/>
          <w:szCs w:val="32"/>
        </w:rPr>
        <w:t>万元，</w:t>
      </w:r>
      <w:r>
        <w:rPr>
          <w:rFonts w:eastAsia="仿宋_GB2312"/>
          <w:sz w:val="32"/>
          <w:szCs w:val="32"/>
        </w:rPr>
        <w:t>同比减少</w:t>
      </w:r>
      <w:r>
        <w:rPr>
          <w:rFonts w:hint="eastAsia" w:eastAsia="仿宋_GB2312"/>
          <w:sz w:val="32"/>
          <w:szCs w:val="32"/>
        </w:rPr>
        <w:t>149.43</w:t>
      </w:r>
      <w:r>
        <w:rPr>
          <w:rFonts w:eastAsia="仿宋_GB2312"/>
          <w:sz w:val="32"/>
          <w:szCs w:val="32"/>
        </w:rPr>
        <w:t>万元，同比下降</w:t>
      </w:r>
      <w:r>
        <w:rPr>
          <w:rFonts w:hint="eastAsia" w:eastAsia="仿宋_GB2312"/>
          <w:sz w:val="32"/>
          <w:szCs w:val="32"/>
        </w:rPr>
        <w:t>3.95</w:t>
      </w:r>
      <w:r>
        <w:rPr>
          <w:rFonts w:eastAsia="仿宋_GB231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2023年收入预算总体减</w:t>
      </w:r>
      <w:r>
        <w:rPr>
          <w:rFonts w:hint="eastAsia" w:ascii="Times New Roman" w:hAnsi="Times New Roman" w:eastAsia="仿宋_GB2312" w:cs="Times New Roman"/>
          <w:sz w:val="32"/>
          <w:szCs w:val="32"/>
        </w:rPr>
        <w:t>少.</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减少，减少的主要原因：</w:t>
      </w:r>
      <w:r>
        <w:rPr>
          <w:rFonts w:hint="eastAsia" w:ascii="仿宋_GB2312" w:hAnsi="仿宋_GB2312" w:eastAsia="仿宋_GB2312" w:cs="仿宋_GB2312"/>
          <w:sz w:val="32"/>
          <w:lang w:eastAsia="zh-Hans"/>
        </w:rPr>
        <w:t>压缩一般公共预算</w:t>
      </w:r>
      <w:r>
        <w:rPr>
          <w:rFonts w:ascii="Times New Roman" w:hAnsi="Times New Roman" w:eastAsia="仿宋_GB2312" w:cs="Times New Roman"/>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三、单位支出预算情况说明</w:t>
      </w:r>
    </w:p>
    <w:p>
      <w:pPr>
        <w:spacing w:line="540" w:lineRule="exact"/>
        <w:ind w:firstLine="640" w:firstLineChars="200"/>
        <w:rPr>
          <w:rFonts w:eastAsia="仿宋_GB2312"/>
          <w:strike/>
          <w:sz w:val="32"/>
          <w:szCs w:val="32"/>
        </w:rPr>
      </w:pPr>
      <w:r>
        <w:rPr>
          <w:rFonts w:eastAsia="仿宋_GB2312"/>
          <w:color w:val="000000"/>
          <w:sz w:val="32"/>
          <w:szCs w:val="32"/>
        </w:rPr>
        <w:t>2023年单位支出总预算</w:t>
      </w:r>
      <w:r>
        <w:rPr>
          <w:rFonts w:hint="eastAsia" w:eastAsia="仿宋_GB2312"/>
          <w:color w:val="000000"/>
          <w:sz w:val="32"/>
          <w:szCs w:val="32"/>
        </w:rPr>
        <w:t>3630.62</w:t>
      </w:r>
      <w:r>
        <w:rPr>
          <w:rFonts w:eastAsia="仿宋_GB2312"/>
          <w:color w:val="000000"/>
          <w:sz w:val="32"/>
          <w:szCs w:val="32"/>
        </w:rPr>
        <w:t>万元，基本支出预算</w:t>
      </w:r>
      <w:r>
        <w:rPr>
          <w:rFonts w:hint="eastAsia" w:eastAsia="仿宋_GB2312"/>
          <w:color w:val="000000"/>
          <w:sz w:val="32"/>
          <w:szCs w:val="32"/>
        </w:rPr>
        <w:t>1097.75</w:t>
      </w:r>
      <w:r>
        <w:rPr>
          <w:rFonts w:eastAsia="仿宋_GB2312"/>
          <w:color w:val="000000"/>
          <w:sz w:val="32"/>
          <w:szCs w:val="32"/>
        </w:rPr>
        <w:t>万元，占支出总预算的</w:t>
      </w:r>
      <w:r>
        <w:rPr>
          <w:rFonts w:hint="eastAsia" w:eastAsia="仿宋_GB2312"/>
          <w:color w:val="000000"/>
          <w:sz w:val="32"/>
          <w:szCs w:val="32"/>
        </w:rPr>
        <w:t>30.23</w:t>
      </w:r>
      <w:r>
        <w:rPr>
          <w:rFonts w:eastAsia="仿宋_GB2312"/>
          <w:color w:val="000000"/>
          <w:sz w:val="32"/>
          <w:szCs w:val="32"/>
        </w:rPr>
        <w:t>%，</w:t>
      </w:r>
      <w:r>
        <w:rPr>
          <w:rFonts w:eastAsia="仿宋_GB2312"/>
          <w:sz w:val="32"/>
          <w:szCs w:val="32"/>
        </w:rPr>
        <w:t>同比增加</w:t>
      </w:r>
      <w:r>
        <w:rPr>
          <w:rFonts w:hint="eastAsia" w:eastAsia="仿宋_GB2312"/>
          <w:sz w:val="32"/>
          <w:szCs w:val="32"/>
        </w:rPr>
        <w:t>161.79</w:t>
      </w:r>
      <w:r>
        <w:rPr>
          <w:rFonts w:eastAsia="仿宋_GB2312"/>
          <w:sz w:val="32"/>
          <w:szCs w:val="32"/>
        </w:rPr>
        <w:t>万元，同比增长</w:t>
      </w:r>
      <w:r>
        <w:rPr>
          <w:rFonts w:hint="eastAsia" w:eastAsia="仿宋_GB2312"/>
          <w:sz w:val="32"/>
          <w:szCs w:val="32"/>
        </w:rPr>
        <w:t>17.28</w:t>
      </w:r>
      <w:r>
        <w:rPr>
          <w:rFonts w:eastAsia="仿宋_GB2312"/>
          <w:sz w:val="32"/>
          <w:szCs w:val="32"/>
        </w:rPr>
        <w:t>%。项目支出预算</w:t>
      </w:r>
      <w:r>
        <w:rPr>
          <w:rFonts w:hint="eastAsia" w:eastAsia="仿宋_GB2312"/>
          <w:sz w:val="32"/>
          <w:szCs w:val="32"/>
        </w:rPr>
        <w:t>2532.87</w:t>
      </w:r>
      <w:r>
        <w:rPr>
          <w:rFonts w:eastAsia="仿宋_GB2312"/>
          <w:sz w:val="32"/>
          <w:szCs w:val="32"/>
        </w:rPr>
        <w:t>万元，占支出总预算的</w:t>
      </w:r>
      <w:r>
        <w:rPr>
          <w:rFonts w:hint="eastAsia" w:eastAsia="仿宋_GB2312"/>
          <w:sz w:val="32"/>
          <w:szCs w:val="32"/>
        </w:rPr>
        <w:t>69.77</w:t>
      </w:r>
      <w:r>
        <w:rPr>
          <w:rFonts w:eastAsia="仿宋_GB2312"/>
          <w:sz w:val="32"/>
          <w:szCs w:val="32"/>
        </w:rPr>
        <w:t>%，同比减</w:t>
      </w:r>
      <w:r>
        <w:rPr>
          <w:rFonts w:hint="eastAsia" w:eastAsia="仿宋_GB2312"/>
          <w:sz w:val="32"/>
          <w:szCs w:val="32"/>
        </w:rPr>
        <w:t>少311.22</w:t>
      </w:r>
      <w:r>
        <w:rPr>
          <w:rFonts w:eastAsia="仿宋_GB2312"/>
          <w:sz w:val="32"/>
          <w:szCs w:val="32"/>
        </w:rPr>
        <w:t>万元，同比下降</w:t>
      </w:r>
      <w:r>
        <w:rPr>
          <w:rFonts w:hint="eastAsia" w:eastAsia="仿宋_GB2312"/>
          <w:sz w:val="32"/>
          <w:szCs w:val="32"/>
        </w:rPr>
        <w:t>10.94</w:t>
      </w:r>
      <w:r>
        <w:rPr>
          <w:rFonts w:eastAsia="仿宋_GB231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（一）按支出功能分类科目划分，共分为</w:t>
      </w:r>
      <w:r>
        <w:rPr>
          <w:rFonts w:hint="eastAsia" w:ascii="Times New Roman" w:hAnsi="Times New Roman" w:eastAsia="仿宋_GB2312" w:cs="Times New Roman"/>
          <w:bCs/>
          <w:sz w:val="32"/>
          <w:szCs w:val="32"/>
        </w:rPr>
        <w:t>六</w:t>
      </w:r>
      <w:r>
        <w:rPr>
          <w:rFonts w:ascii="Times New Roman" w:hAnsi="Times New Roman" w:eastAsia="仿宋_GB2312" w:cs="Times New Roman"/>
          <w:kern w:val="2"/>
          <w:sz w:val="32"/>
          <w:szCs w:val="32"/>
        </w:rPr>
        <w:t>类，其中： 1.</w:t>
      </w:r>
      <w:r>
        <w:rPr>
          <w:rFonts w:hint="eastAsia" w:ascii="Times New Roman" w:hAnsi="Times New Roman" w:eastAsia="仿宋_GB2312" w:cs="Times New Roman"/>
          <w:kern w:val="2"/>
          <w:sz w:val="32"/>
          <w:szCs w:val="32"/>
        </w:rPr>
        <w:t xml:space="preserve"> 一般公共服务支出11.75</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0.03</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1.78</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17</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增加的原因是群众团体事务增加。</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 xml:space="preserve"> 科学技术支出4</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0.01</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4</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100</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增加的原因是其他科学技术支出增加。</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 xml:space="preserve"> 社会保障和就业支出140.95</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3.8</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21.34</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增长的原因是养老保险和职业年金缴费增加。</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bCs/>
          <w:sz w:val="32"/>
          <w:szCs w:val="32"/>
        </w:rPr>
        <w:t>4.</w:t>
      </w:r>
      <w:r>
        <w:rPr>
          <w:rFonts w:hint="eastAsia" w:ascii="Times New Roman" w:hAnsi="Times New Roman" w:eastAsia="仿宋_GB2312" w:cs="Times New Roman"/>
          <w:kern w:val="2"/>
          <w:sz w:val="32"/>
          <w:szCs w:val="32"/>
        </w:rPr>
        <w:t xml:space="preserve"> 卫生健康支出82.27</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2.2</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82.27</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100</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增加的原因是养老保险和公务员医疗补助增加。</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 xml:space="preserve"> 城乡社区支出3321.18</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91.48</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rPr>
        <w:t>269.48</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rPr>
        <w:t>7.5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减少的原因是项目支出减少。</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bCs/>
          <w:sz w:val="32"/>
          <w:szCs w:val="32"/>
        </w:rPr>
        <w:t>6.</w:t>
      </w:r>
      <w:r>
        <w:rPr>
          <w:rFonts w:hint="eastAsia" w:ascii="Times New Roman" w:hAnsi="Times New Roman" w:eastAsia="仿宋_GB2312" w:cs="Times New Roman"/>
          <w:kern w:val="2"/>
          <w:sz w:val="32"/>
          <w:szCs w:val="32"/>
        </w:rPr>
        <w:t xml:space="preserve"> 住房保障支出70.47</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1.94</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10.66</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17.82</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增加的原因是住房公积金缴款增加。</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（二）按支出结构分类划分，分为基本支出预算和项目支出预算</w:t>
      </w:r>
      <w:r>
        <w:rPr>
          <w:rFonts w:hint="eastAsia" w:ascii="Times New Roman" w:hAnsi="Times New Roman" w:eastAsia="仿宋_GB2312" w:cs="Times New Roman"/>
          <w:kern w:val="2"/>
          <w:sz w:val="32"/>
          <w:szCs w:val="32"/>
        </w:rPr>
        <w:t>，其中：</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1.基本支出预算</w:t>
      </w:r>
      <w:r>
        <w:rPr>
          <w:rFonts w:hint="eastAsia" w:ascii="Times New Roman" w:hAnsi="Times New Roman" w:eastAsia="仿宋_GB2312" w:cs="Times New Roman"/>
          <w:kern w:val="2"/>
          <w:sz w:val="32"/>
          <w:szCs w:val="32"/>
        </w:rPr>
        <w:t>1097.75</w:t>
      </w:r>
      <w:r>
        <w:rPr>
          <w:rFonts w:ascii="Times New Roman" w:hAnsi="Times New Roman" w:eastAsia="仿宋_GB2312" w:cs="Times New Roman"/>
          <w:kern w:val="2"/>
          <w:sz w:val="32"/>
          <w:szCs w:val="32"/>
        </w:rPr>
        <w:t>万元，占一般公共预算拨款支出预算</w:t>
      </w:r>
      <w:r>
        <w:rPr>
          <w:rFonts w:hint="eastAsia" w:ascii="Times New Roman" w:hAnsi="Times New Roman" w:eastAsia="仿宋_GB2312" w:cs="Times New Roman"/>
          <w:kern w:val="2"/>
          <w:sz w:val="32"/>
          <w:szCs w:val="32"/>
        </w:rPr>
        <w:t>30.23</w:t>
      </w:r>
      <w:r>
        <w:rPr>
          <w:rFonts w:ascii="Times New Roman" w:hAnsi="Times New Roman" w:eastAsia="仿宋_GB2312" w:cs="Times New Roman"/>
          <w:kern w:val="2"/>
          <w:sz w:val="32"/>
          <w:szCs w:val="32"/>
        </w:rPr>
        <w:t>%，同比增加</w:t>
      </w:r>
      <w:r>
        <w:rPr>
          <w:rFonts w:hint="eastAsia" w:ascii="Times New Roman" w:hAnsi="Times New Roman" w:eastAsia="仿宋_GB2312" w:cs="Times New Roman"/>
          <w:kern w:val="2"/>
          <w:sz w:val="32"/>
          <w:szCs w:val="32"/>
        </w:rPr>
        <w:t>161.79</w:t>
      </w:r>
      <w:r>
        <w:rPr>
          <w:rFonts w:ascii="Times New Roman" w:hAnsi="Times New Roman" w:eastAsia="仿宋_GB2312" w:cs="Times New Roman"/>
          <w:kern w:val="2"/>
          <w:sz w:val="32"/>
          <w:szCs w:val="32"/>
        </w:rPr>
        <w:t>万元，同比增长</w:t>
      </w:r>
      <w:r>
        <w:rPr>
          <w:rFonts w:hint="eastAsia" w:ascii="Times New Roman" w:hAnsi="Times New Roman" w:eastAsia="仿宋_GB2312" w:cs="Times New Roman"/>
          <w:kern w:val="2"/>
          <w:sz w:val="32"/>
          <w:szCs w:val="32"/>
        </w:rPr>
        <w:t>17.28</w:t>
      </w:r>
      <w:r>
        <w:rPr>
          <w:rFonts w:ascii="Times New Roman" w:hAnsi="Times New Roman" w:eastAsia="仿宋_GB2312" w:cs="Times New Roman"/>
          <w:kern w:val="2"/>
          <w:sz w:val="32"/>
          <w:szCs w:val="32"/>
        </w:rPr>
        <w:t>%。</w:t>
      </w:r>
    </w:p>
    <w:p>
      <w:pPr>
        <w:pStyle w:val="5"/>
        <w:tabs>
          <w:tab w:val="center" w:pos="4475"/>
        </w:tabs>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2.项目支出预算</w:t>
      </w:r>
      <w:r>
        <w:rPr>
          <w:rFonts w:hint="eastAsia" w:ascii="Times New Roman" w:hAnsi="Times New Roman" w:eastAsia="仿宋_GB2312" w:cs="Times New Roman"/>
          <w:kern w:val="2"/>
          <w:sz w:val="32"/>
          <w:szCs w:val="32"/>
        </w:rPr>
        <w:t>2532.87</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rPr>
        <w:t>69.77</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rPr>
        <w:t>311.22</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rPr>
        <w:t>8.2</w:t>
      </w:r>
      <w:r>
        <w:rPr>
          <w:rFonts w:ascii="Times New Roman" w:hAnsi="Times New Roman" w:eastAsia="仿宋_GB2312" w:cs="Times New Roman"/>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2023年支出预算总体减少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2023年预算项目调整，减少预算项目数量及压缩预算项目经费。</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四、财政拨款收支预算情况说明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2023年单位财政拨款收支总预算</w:t>
      </w:r>
      <w:r>
        <w:rPr>
          <w:rFonts w:hint="eastAsia" w:ascii="Times New Roman" w:hAnsi="Times New Roman" w:eastAsia="仿宋_GB2312" w:cs="Times New Roman"/>
          <w:kern w:val="2"/>
          <w:sz w:val="32"/>
          <w:szCs w:val="32"/>
        </w:rPr>
        <w:t>3630.62</w:t>
      </w:r>
      <w:r>
        <w:rPr>
          <w:rFonts w:ascii="Times New Roman" w:hAnsi="Times New Roman" w:eastAsia="仿宋_GB2312" w:cs="Times New Roman"/>
          <w:kern w:val="2"/>
          <w:sz w:val="32"/>
          <w:szCs w:val="32"/>
        </w:rPr>
        <w:t>万元，收入包括：</w:t>
      </w:r>
      <w:r>
        <w:rPr>
          <w:rFonts w:hint="eastAsia" w:ascii="Times New Roman" w:hAnsi="Times New Roman" w:eastAsia="仿宋_GB2312" w:cs="Times New Roman"/>
          <w:kern w:val="2"/>
          <w:sz w:val="32"/>
          <w:szCs w:val="32"/>
        </w:rPr>
        <w:t>一般公共预算拨款</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rPr>
        <w:t>群众团体事务11.75</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rPr>
        <w:t>，其他科学技术支出4</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rPr>
        <w:t>，行政事业单位养老支出140.95</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rPr>
        <w:t>，行政事业单位医疗支出82.27</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rPr>
        <w:t>，城乡社区管理事务3321.18</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rPr>
        <w:t>，住房保障支出82.27</w:t>
      </w:r>
      <w:r>
        <w:rPr>
          <w:rFonts w:ascii="Times New Roman" w:hAnsi="Times New Roman" w:eastAsia="仿宋_GB2312" w:cs="Times New Roman"/>
          <w:kern w:val="2"/>
          <w:sz w:val="32"/>
          <w:szCs w:val="32"/>
        </w:rPr>
        <w:t>万元。</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五、一般公共预算支出情况说明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2023年单位一般公共预算拨款支出</w:t>
      </w:r>
      <w:r>
        <w:rPr>
          <w:rFonts w:hint="eastAsia" w:ascii="Times New Roman" w:hAnsi="Times New Roman" w:eastAsia="仿宋_GB2312" w:cs="Times New Roman"/>
          <w:kern w:val="2"/>
          <w:sz w:val="32"/>
          <w:szCs w:val="32"/>
        </w:rPr>
        <w:t>3630.62</w:t>
      </w:r>
      <w:r>
        <w:rPr>
          <w:rFonts w:ascii="Times New Roman" w:hAnsi="Times New Roman" w:eastAsia="仿宋_GB2312" w:cs="Times New Roman"/>
          <w:kern w:val="2"/>
          <w:sz w:val="32"/>
          <w:szCs w:val="32"/>
        </w:rPr>
        <w:t>万元，其中：基本支出</w:t>
      </w:r>
      <w:r>
        <w:rPr>
          <w:rFonts w:hint="eastAsia" w:ascii="Times New Roman" w:hAnsi="Times New Roman" w:eastAsia="仿宋_GB2312" w:cs="Times New Roman"/>
          <w:kern w:val="2"/>
          <w:sz w:val="32"/>
          <w:szCs w:val="32"/>
        </w:rPr>
        <w:t>1097.75</w:t>
      </w:r>
      <w:r>
        <w:rPr>
          <w:rFonts w:ascii="Times New Roman" w:hAnsi="Times New Roman" w:eastAsia="仿宋_GB2312" w:cs="Times New Roman"/>
          <w:kern w:val="2"/>
          <w:sz w:val="32"/>
          <w:szCs w:val="32"/>
        </w:rPr>
        <w:t>万元，项目支出</w:t>
      </w:r>
      <w:r>
        <w:rPr>
          <w:rFonts w:hint="eastAsia" w:ascii="Times New Roman" w:hAnsi="Times New Roman" w:eastAsia="仿宋_GB2312" w:cs="Times New Roman"/>
          <w:kern w:val="2"/>
          <w:sz w:val="32"/>
          <w:szCs w:val="32"/>
        </w:rPr>
        <w:t>2532.87</w:t>
      </w:r>
      <w:r>
        <w:rPr>
          <w:rFonts w:ascii="Times New Roman" w:hAnsi="Times New Roman" w:eastAsia="仿宋_GB2312" w:cs="Times New Roman"/>
          <w:kern w:val="2"/>
          <w:sz w:val="32"/>
          <w:szCs w:val="32"/>
        </w:rPr>
        <w:t>万元，具体支出预算如下：</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w:t>
      </w:r>
      <w:r>
        <w:rPr>
          <w:rFonts w:hint="eastAsia" w:ascii="Times New Roman" w:hAnsi="Times New Roman" w:eastAsia="仿宋_GB2312" w:cs="Times New Roman"/>
          <w:kern w:val="2"/>
          <w:sz w:val="32"/>
          <w:szCs w:val="32"/>
        </w:rPr>
        <w:t>群众团体事务11.75</w:t>
      </w:r>
      <w:r>
        <w:rPr>
          <w:rFonts w:ascii="Times New Roman" w:hAnsi="Times New Roman" w:eastAsia="仿宋_GB2312" w:cs="Times New Roman"/>
          <w:kern w:val="2"/>
          <w:sz w:val="32"/>
          <w:szCs w:val="32"/>
        </w:rPr>
        <w:t>万元，其中：全部为基本支出。主要用于</w:t>
      </w:r>
      <w:r>
        <w:rPr>
          <w:rFonts w:hint="eastAsia" w:ascii="Times New Roman" w:hAnsi="Times New Roman" w:eastAsia="仿宋_GB2312" w:cs="Times New Roman"/>
          <w:sz w:val="32"/>
          <w:szCs w:val="32"/>
        </w:rPr>
        <w:t>各项公务事项</w:t>
      </w:r>
      <w:r>
        <w:rPr>
          <w:rFonts w:ascii="Times New Roman" w:hAnsi="Times New Roman" w:eastAsia="仿宋_GB2312" w:cs="Times New Roman"/>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w:t>
      </w:r>
      <w:r>
        <w:rPr>
          <w:rFonts w:hint="eastAsia" w:ascii="Times New Roman" w:hAnsi="Times New Roman" w:eastAsia="仿宋_GB2312" w:cs="Times New Roman"/>
          <w:kern w:val="2"/>
          <w:sz w:val="32"/>
          <w:szCs w:val="32"/>
        </w:rPr>
        <w:t>科学技术支出4</w:t>
      </w:r>
      <w:r>
        <w:rPr>
          <w:rFonts w:ascii="Times New Roman" w:hAnsi="Times New Roman" w:eastAsia="仿宋_GB2312" w:cs="Times New Roman"/>
          <w:kern w:val="2"/>
          <w:sz w:val="32"/>
          <w:szCs w:val="32"/>
        </w:rPr>
        <w:t>万元，其中：全部为基本支出。主要用于</w:t>
      </w:r>
      <w:r>
        <w:rPr>
          <w:rFonts w:hint="eastAsia" w:ascii="Times New Roman" w:hAnsi="Times New Roman" w:eastAsia="仿宋_GB2312" w:cs="Times New Roman"/>
          <w:kern w:val="2"/>
          <w:sz w:val="32"/>
          <w:szCs w:val="32"/>
        </w:rPr>
        <w:t>其他科学技术支出。</w:t>
      </w:r>
    </w:p>
    <w:p>
      <w:pPr>
        <w:pStyle w:val="5"/>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三</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行政事业单位养老支出140.95</w:t>
      </w:r>
      <w:r>
        <w:rPr>
          <w:rFonts w:ascii="Times New Roman" w:hAnsi="Times New Roman" w:eastAsia="仿宋_GB2312" w:cs="Times New Roman"/>
          <w:kern w:val="2"/>
          <w:sz w:val="32"/>
          <w:szCs w:val="32"/>
        </w:rPr>
        <w:t>万元，其中：全部为基本支出。主要用于</w:t>
      </w:r>
      <w:r>
        <w:rPr>
          <w:rFonts w:hint="eastAsia" w:ascii="Times New Roman" w:hAnsi="Times New Roman" w:eastAsia="仿宋_GB2312" w:cs="Times New Roman"/>
          <w:sz w:val="32"/>
          <w:szCs w:val="32"/>
        </w:rPr>
        <w:t>养老保险和职业年金单位部分</w:t>
      </w:r>
      <w:r>
        <w:rPr>
          <w:rFonts w:ascii="Times New Roman" w:hAnsi="Times New Roman" w:eastAsia="仿宋_GB2312" w:cs="Times New Roman"/>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四</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行政事业单位医疗支出82.27</w:t>
      </w:r>
      <w:r>
        <w:rPr>
          <w:rFonts w:ascii="Times New Roman" w:hAnsi="Times New Roman" w:eastAsia="仿宋_GB2312" w:cs="Times New Roman"/>
          <w:kern w:val="2"/>
          <w:sz w:val="32"/>
          <w:szCs w:val="32"/>
        </w:rPr>
        <w:t>万元，其中：全部为基本支出。主要用于</w:t>
      </w:r>
      <w:r>
        <w:rPr>
          <w:rFonts w:hint="eastAsia" w:ascii="Times New Roman" w:hAnsi="Times New Roman" w:eastAsia="仿宋_GB2312" w:cs="Times New Roman"/>
          <w:sz w:val="32"/>
          <w:szCs w:val="32"/>
        </w:rPr>
        <w:t>医疗保险及公务员医疗补助缴纳单位部分</w:t>
      </w:r>
      <w:r>
        <w:rPr>
          <w:rFonts w:ascii="Times New Roman" w:hAnsi="Times New Roman" w:eastAsia="仿宋_GB2312" w:cs="Times New Roman"/>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五</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城乡社区管理事务3321.18</w:t>
      </w:r>
      <w:r>
        <w:rPr>
          <w:rFonts w:ascii="Times New Roman" w:hAnsi="Times New Roman" w:eastAsia="仿宋_GB2312" w:cs="Times New Roman"/>
          <w:kern w:val="2"/>
          <w:sz w:val="32"/>
          <w:szCs w:val="32"/>
        </w:rPr>
        <w:t>万元，其中：基本支出预算</w:t>
      </w:r>
      <w:r>
        <w:rPr>
          <w:rFonts w:hint="eastAsia" w:ascii="Times New Roman" w:hAnsi="Times New Roman" w:eastAsia="仿宋_GB2312" w:cs="Times New Roman"/>
          <w:kern w:val="2"/>
          <w:sz w:val="32"/>
          <w:szCs w:val="32"/>
        </w:rPr>
        <w:t>788.31</w:t>
      </w:r>
      <w:r>
        <w:rPr>
          <w:rFonts w:ascii="Times New Roman" w:hAnsi="Times New Roman" w:eastAsia="仿宋_GB2312" w:cs="Times New Roman"/>
          <w:kern w:val="2"/>
          <w:sz w:val="32"/>
          <w:szCs w:val="32"/>
        </w:rPr>
        <w:t>万元，项目支出预算</w:t>
      </w:r>
      <w:r>
        <w:rPr>
          <w:rFonts w:hint="eastAsia" w:ascii="Times New Roman" w:hAnsi="Times New Roman" w:eastAsia="仿宋_GB2312" w:cs="Times New Roman"/>
          <w:kern w:val="2"/>
          <w:sz w:val="32"/>
          <w:szCs w:val="32"/>
        </w:rPr>
        <w:t>2532.87</w:t>
      </w:r>
      <w:r>
        <w:rPr>
          <w:rFonts w:ascii="Times New Roman" w:hAnsi="Times New Roman" w:eastAsia="仿宋_GB2312" w:cs="Times New Roman"/>
          <w:kern w:val="2"/>
          <w:sz w:val="32"/>
          <w:szCs w:val="32"/>
        </w:rPr>
        <w:t>万元。主要用于</w:t>
      </w:r>
      <w:r>
        <w:rPr>
          <w:rFonts w:hint="eastAsia" w:ascii="Times New Roman" w:hAnsi="Times New Roman" w:eastAsia="仿宋_GB2312" w:cs="Times New Roman"/>
          <w:sz w:val="32"/>
          <w:szCs w:val="32"/>
        </w:rPr>
        <w:t>人员经费，公用经费及项目经费支出</w:t>
      </w:r>
      <w:r>
        <w:rPr>
          <w:rFonts w:ascii="Times New Roman" w:hAnsi="Times New Roman" w:eastAsia="仿宋_GB2312" w:cs="Times New Roman"/>
          <w:sz w:val="32"/>
          <w:szCs w:val="32"/>
        </w:rPr>
        <w:t>。</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六</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住房保障支出82.27</w:t>
      </w:r>
      <w:r>
        <w:rPr>
          <w:rFonts w:ascii="Times New Roman" w:hAnsi="Times New Roman" w:eastAsia="仿宋_GB2312" w:cs="Times New Roman"/>
          <w:kern w:val="2"/>
          <w:sz w:val="32"/>
          <w:szCs w:val="32"/>
        </w:rPr>
        <w:t>万元，其中：全部为基本支出。主要用于</w:t>
      </w:r>
      <w:r>
        <w:rPr>
          <w:rFonts w:hint="eastAsia" w:ascii="Times New Roman" w:hAnsi="Times New Roman" w:eastAsia="仿宋_GB2312" w:cs="Times New Roman"/>
          <w:sz w:val="32"/>
          <w:szCs w:val="32"/>
        </w:rPr>
        <w:t>住房公积金缴纳单位部分。</w:t>
      </w:r>
    </w:p>
    <w:p>
      <w:pPr>
        <w:pStyle w:val="5"/>
        <w:spacing w:before="0" w:beforeAutospacing="0" w:after="0" w:afterAutospacing="0" w:line="540" w:lineRule="exact"/>
        <w:ind w:firstLine="640" w:firstLineChars="200"/>
        <w:rPr>
          <w:rFonts w:ascii="Times New Roman" w:hAnsi="Times New Roman" w:eastAsia="仿宋_GB2312" w:cs="Times New Roman"/>
          <w:kern w:val="2"/>
          <w:sz w:val="32"/>
          <w:szCs w:val="32"/>
        </w:rPr>
      </w:pP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六、一般公共预算基本支出情况说明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2023年单位一般公共预算基本支出</w:t>
      </w:r>
      <w:r>
        <w:rPr>
          <w:rFonts w:hint="eastAsia" w:ascii="Times New Roman" w:hAnsi="Times New Roman" w:eastAsia="仿宋_GB2312" w:cs="Times New Roman"/>
          <w:kern w:val="2"/>
          <w:sz w:val="32"/>
          <w:szCs w:val="32"/>
        </w:rPr>
        <w:t>1097.75</w:t>
      </w:r>
      <w:r>
        <w:rPr>
          <w:rFonts w:ascii="Times New Roman" w:hAnsi="Times New Roman" w:eastAsia="仿宋_GB2312" w:cs="Times New Roman"/>
          <w:kern w:val="2"/>
          <w:sz w:val="32"/>
          <w:szCs w:val="32"/>
        </w:rPr>
        <w:t>万元，其中：</w:t>
      </w:r>
    </w:p>
    <w:p>
      <w:pPr>
        <w:pStyle w:val="5"/>
        <w:spacing w:before="0" w:beforeAutospacing="0" w:after="0" w:afterAutospacing="0" w:line="540" w:lineRule="exact"/>
        <w:ind w:firstLine="640" w:firstLineChars="200"/>
        <w:jc w:val="both"/>
        <w:rPr>
          <w:rFonts w:ascii="Times New Roman" w:hAnsi="Times New Roman" w:eastAsia="仿宋_GB2312" w:cs="Times New Roman"/>
          <w:bCs/>
          <w:strike/>
          <w:sz w:val="32"/>
          <w:szCs w:val="32"/>
        </w:rPr>
      </w:pPr>
      <w:r>
        <w:rPr>
          <w:rFonts w:ascii="Times New Roman" w:hAnsi="Times New Roman" w:eastAsia="仿宋_GB2312" w:cs="Times New Roman"/>
          <w:kern w:val="2"/>
          <w:sz w:val="32"/>
          <w:szCs w:val="32"/>
        </w:rPr>
        <w:t>（一）人员经费</w:t>
      </w:r>
      <w:r>
        <w:rPr>
          <w:rFonts w:hint="eastAsia" w:ascii="Times New Roman" w:hAnsi="Times New Roman" w:eastAsia="仿宋_GB2312" w:cs="Times New Roman"/>
          <w:kern w:val="2"/>
          <w:sz w:val="32"/>
          <w:szCs w:val="32"/>
        </w:rPr>
        <w:t>948.75</w:t>
      </w:r>
      <w:r>
        <w:rPr>
          <w:rFonts w:ascii="Times New Roman" w:hAnsi="Times New Roman" w:eastAsia="仿宋_GB2312" w:cs="Times New Roman"/>
          <w:kern w:val="2"/>
          <w:sz w:val="32"/>
          <w:szCs w:val="32"/>
        </w:rPr>
        <w:t>万元，主要包括：</w:t>
      </w:r>
      <w:r>
        <w:rPr>
          <w:rFonts w:hint="eastAsia" w:ascii="Times New Roman" w:hAnsi="Times New Roman" w:eastAsia="仿宋_GB2312" w:cs="Times New Roman"/>
          <w:sz w:val="32"/>
          <w:szCs w:val="32"/>
        </w:rPr>
        <w:t>行政事业单位养老支出、行政事业单位医疗、城乡社区管理事务、住房改革支出</w:t>
      </w:r>
      <w:r>
        <w:rPr>
          <w:rFonts w:ascii="Times New Roman" w:hAnsi="Times New Roman" w:eastAsia="仿宋_GB2312" w:cs="Times New Roman"/>
          <w:kern w:val="2"/>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（二）公用经费</w:t>
      </w:r>
      <w:r>
        <w:rPr>
          <w:rFonts w:hint="eastAsia" w:ascii="Times New Roman" w:hAnsi="Times New Roman" w:eastAsia="仿宋_GB2312" w:cs="Times New Roman"/>
          <w:kern w:val="2"/>
          <w:sz w:val="32"/>
          <w:szCs w:val="32"/>
        </w:rPr>
        <w:t>149.51</w:t>
      </w:r>
      <w:r>
        <w:rPr>
          <w:rFonts w:ascii="Times New Roman" w:hAnsi="Times New Roman" w:eastAsia="仿宋_GB2312" w:cs="Times New Roman"/>
          <w:kern w:val="2"/>
          <w:sz w:val="32"/>
          <w:szCs w:val="32"/>
        </w:rPr>
        <w:t>万元，主要包括：</w:t>
      </w:r>
      <w:r>
        <w:rPr>
          <w:rFonts w:hint="eastAsia" w:ascii="Times New Roman" w:hAnsi="Times New Roman" w:eastAsia="仿宋_GB2312" w:cs="Times New Roman"/>
          <w:sz w:val="32"/>
          <w:szCs w:val="32"/>
        </w:rPr>
        <w:t>群众团体事务、其他科学技术支出、城乡社区管理事务</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七、一般公共预算“三公”经费情况说明</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2023年</w:t>
      </w:r>
      <w:r>
        <w:rPr>
          <w:rFonts w:hint="eastAsia" w:ascii="Times New Roman" w:hAnsi="Times New Roman" w:eastAsia="仿宋_GB2312" w:cs="Times New Roman"/>
          <w:bCs/>
          <w:color w:val="000000"/>
          <w:sz w:val="32"/>
          <w:szCs w:val="32"/>
        </w:rPr>
        <w:t>单位</w:t>
      </w:r>
      <w:r>
        <w:rPr>
          <w:rFonts w:ascii="Times New Roman" w:hAnsi="Times New Roman" w:eastAsia="仿宋_GB2312" w:cs="Times New Roman"/>
          <w:bCs/>
          <w:color w:val="000000"/>
          <w:sz w:val="32"/>
          <w:szCs w:val="32"/>
        </w:rPr>
        <w:t>一般公共预算安排的“三公”经费支出预算</w:t>
      </w:r>
      <w:r>
        <w:rPr>
          <w:rFonts w:hint="eastAsia" w:ascii="Times New Roman" w:hAnsi="Times New Roman" w:eastAsia="仿宋_GB2312" w:cs="Times New Roman"/>
          <w:bCs/>
          <w:color w:val="000000"/>
          <w:sz w:val="32"/>
          <w:szCs w:val="32"/>
        </w:rPr>
        <w:t>8.5</w:t>
      </w:r>
      <w:r>
        <w:rPr>
          <w:rFonts w:ascii="Times New Roman" w:hAnsi="Times New Roman" w:eastAsia="仿宋_GB2312" w:cs="Times New Roman"/>
          <w:bCs/>
          <w:color w:val="000000"/>
          <w:sz w:val="32"/>
          <w:szCs w:val="32"/>
        </w:rPr>
        <w:t>万元，比202</w:t>
      </w:r>
      <w:r>
        <w:rPr>
          <w:rFonts w:hint="eastAsia"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年预算同比减少</w:t>
      </w:r>
      <w:r>
        <w:rPr>
          <w:rFonts w:hint="eastAsia" w:ascii="Times New Roman" w:hAnsi="Times New Roman" w:eastAsia="仿宋_GB2312" w:cs="Times New Roman"/>
          <w:bCs/>
          <w:color w:val="000000"/>
          <w:sz w:val="32"/>
          <w:szCs w:val="32"/>
        </w:rPr>
        <w:t>0.85</w:t>
      </w:r>
      <w:r>
        <w:rPr>
          <w:rFonts w:ascii="Times New Roman" w:hAnsi="Times New Roman" w:eastAsia="仿宋_GB2312" w:cs="Times New Roman"/>
          <w:bCs/>
          <w:color w:val="000000"/>
          <w:sz w:val="32"/>
          <w:szCs w:val="32"/>
        </w:rPr>
        <w:t>万元，下降</w:t>
      </w:r>
      <w:r>
        <w:rPr>
          <w:rFonts w:hint="eastAsia" w:ascii="Times New Roman" w:hAnsi="Times New Roman" w:eastAsia="仿宋_GB2312" w:cs="Times New Roman"/>
          <w:bCs/>
          <w:color w:val="000000"/>
          <w:sz w:val="32"/>
          <w:szCs w:val="32"/>
        </w:rPr>
        <w:t>9.1</w:t>
      </w:r>
      <w:r>
        <w:rPr>
          <w:rFonts w:ascii="Times New Roman" w:hAnsi="Times New Roman" w:eastAsia="仿宋_GB2312" w:cs="Times New Roman"/>
          <w:bCs/>
          <w:color w:val="000000"/>
          <w:sz w:val="32"/>
          <w:szCs w:val="32"/>
        </w:rPr>
        <w:t>%。其中：</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（一）</w:t>
      </w:r>
      <w:r>
        <w:rPr>
          <w:rFonts w:ascii="Times New Roman" w:hAnsi="Times New Roman" w:eastAsia="仿宋_GB2312" w:cs="Times New Roman"/>
          <w:bCs/>
          <w:color w:val="000000"/>
          <w:sz w:val="32"/>
          <w:szCs w:val="32"/>
        </w:rPr>
        <w:t>因公出国（境）经费2023年预算</w:t>
      </w:r>
      <w:r>
        <w:rPr>
          <w:rFonts w:hint="eastAsia" w:ascii="Times New Roman" w:hAnsi="Times New Roman" w:eastAsia="仿宋_GB2312" w:cs="Times New Roman"/>
          <w:bCs/>
          <w:color w:val="000000"/>
          <w:sz w:val="32"/>
          <w:szCs w:val="32"/>
        </w:rPr>
        <w:t>0</w:t>
      </w:r>
      <w:r>
        <w:rPr>
          <w:rFonts w:ascii="Times New Roman" w:hAnsi="Times New Roman" w:eastAsia="仿宋_GB2312" w:cs="Times New Roman"/>
          <w:bCs/>
          <w:color w:val="000000"/>
          <w:sz w:val="32"/>
          <w:szCs w:val="32"/>
        </w:rPr>
        <w:t>万元，同比增加（减少）</w:t>
      </w:r>
      <w:r>
        <w:rPr>
          <w:rFonts w:hint="eastAsia" w:ascii="Times New Roman" w:hAnsi="Times New Roman" w:eastAsia="仿宋_GB2312" w:cs="Times New Roman"/>
          <w:bCs/>
          <w:color w:val="000000"/>
          <w:sz w:val="32"/>
          <w:szCs w:val="32"/>
        </w:rPr>
        <w:t>0</w:t>
      </w:r>
      <w:r>
        <w:rPr>
          <w:rFonts w:ascii="Times New Roman" w:hAnsi="Times New Roman" w:eastAsia="仿宋_GB2312" w:cs="Times New Roman"/>
          <w:bCs/>
          <w:color w:val="000000"/>
          <w:sz w:val="32"/>
          <w:szCs w:val="32"/>
        </w:rPr>
        <w:t>万元</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w:t>
      </w:r>
      <w:r>
        <w:rPr>
          <w:rFonts w:ascii="Times New Roman" w:hAnsi="Times New Roman" w:eastAsia="仿宋_GB2312" w:cs="Times New Roman"/>
          <w:bCs/>
          <w:color w:val="000000"/>
          <w:sz w:val="32"/>
          <w:szCs w:val="32"/>
        </w:rPr>
        <w:t>公务接待费2023年预算</w:t>
      </w:r>
      <w:r>
        <w:rPr>
          <w:rFonts w:hint="eastAsia" w:ascii="Times New Roman" w:hAnsi="Times New Roman" w:eastAsia="仿宋_GB2312" w:cs="Times New Roman"/>
          <w:bCs/>
          <w:color w:val="000000"/>
          <w:sz w:val="32"/>
          <w:szCs w:val="32"/>
        </w:rPr>
        <w:t>2</w:t>
      </w:r>
      <w:r>
        <w:rPr>
          <w:rFonts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rPr>
        <w:t>0.2</w:t>
      </w:r>
      <w:r>
        <w:rPr>
          <w:rFonts w:ascii="Times New Roman" w:hAnsi="Times New Roman" w:eastAsia="仿宋_GB2312" w:cs="Times New Roman"/>
          <w:bCs/>
          <w:color w:val="000000"/>
          <w:sz w:val="32"/>
          <w:szCs w:val="32"/>
        </w:rPr>
        <w:t>万元，下降</w:t>
      </w:r>
      <w:r>
        <w:rPr>
          <w:rFonts w:hint="eastAsia" w:ascii="Times New Roman" w:hAnsi="Times New Roman" w:eastAsia="仿宋_GB2312" w:cs="Times New Roman"/>
          <w:bCs/>
          <w:color w:val="000000"/>
          <w:sz w:val="32"/>
          <w:szCs w:val="32"/>
        </w:rPr>
        <w:t>9.1</w:t>
      </w:r>
      <w:r>
        <w:rPr>
          <w:rFonts w:ascii="Times New Roman" w:hAnsi="Times New Roman" w:eastAsia="仿宋_GB2312" w:cs="Times New Roman"/>
          <w:bCs/>
          <w:color w:val="000000"/>
          <w:sz w:val="32"/>
          <w:szCs w:val="32"/>
        </w:rPr>
        <w:t>%，减少</w:t>
      </w:r>
      <w:r>
        <w:rPr>
          <w:rFonts w:hint="eastAsia" w:ascii="Times New Roman" w:hAnsi="Times New Roman" w:eastAsia="仿宋_GB2312" w:cs="Times New Roman"/>
          <w:bCs/>
          <w:color w:val="000000"/>
          <w:sz w:val="32"/>
          <w:szCs w:val="32"/>
        </w:rPr>
        <w:t>的主要</w:t>
      </w:r>
      <w:r>
        <w:rPr>
          <w:rFonts w:ascii="Times New Roman" w:hAnsi="Times New Roman" w:eastAsia="仿宋_GB2312" w:cs="Times New Roman"/>
          <w:bCs/>
          <w:color w:val="000000"/>
          <w:sz w:val="32"/>
          <w:szCs w:val="32"/>
        </w:rPr>
        <w:t>原因：</w:t>
      </w:r>
      <w:r>
        <w:rPr>
          <w:rFonts w:hint="eastAsia" w:ascii="Times New Roman" w:hAnsi="Times New Roman" w:eastAsia="仿宋_GB2312" w:cs="Times New Roman"/>
          <w:bCs/>
          <w:color w:val="000000"/>
          <w:sz w:val="32"/>
          <w:szCs w:val="32"/>
        </w:rPr>
        <w:t>公务接待少</w:t>
      </w:r>
      <w:r>
        <w:rPr>
          <w:rFonts w:ascii="Times New Roman" w:hAnsi="Times New Roman" w:eastAsia="仿宋_GB2312" w:cs="Times New Roman"/>
          <w:bCs/>
          <w:color w:val="000000"/>
          <w:sz w:val="32"/>
          <w:szCs w:val="32"/>
        </w:rPr>
        <w:t>。</w:t>
      </w:r>
    </w:p>
    <w:p>
      <w:pPr>
        <w:pStyle w:val="5"/>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sz w:val="32"/>
          <w:szCs w:val="32"/>
        </w:rPr>
        <w:t>（三）</w:t>
      </w:r>
      <w:r>
        <w:rPr>
          <w:rFonts w:ascii="Times New Roman" w:hAnsi="Times New Roman" w:eastAsia="仿宋_GB2312" w:cs="Times New Roman"/>
          <w:bCs/>
          <w:color w:val="000000"/>
          <w:sz w:val="32"/>
          <w:szCs w:val="32"/>
        </w:rPr>
        <w:t>公务用车购置及运行维护费2023年预算</w:t>
      </w:r>
      <w:r>
        <w:rPr>
          <w:rFonts w:hint="eastAsia" w:ascii="Times New Roman" w:hAnsi="Times New Roman" w:eastAsia="仿宋_GB2312" w:cs="Times New Roman"/>
          <w:bCs/>
          <w:color w:val="000000"/>
          <w:sz w:val="32"/>
          <w:szCs w:val="32"/>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rPr>
        <w:t>比上年</w:t>
      </w:r>
      <w:r>
        <w:rPr>
          <w:rFonts w:ascii="Times New Roman" w:hAnsi="Times New Roman" w:eastAsia="仿宋_GB2312" w:cs="Times New Roman"/>
          <w:bCs/>
          <w:color w:val="000000"/>
          <w:sz w:val="32"/>
          <w:szCs w:val="32"/>
        </w:rPr>
        <w:t>减少</w:t>
      </w:r>
      <w:r>
        <w:rPr>
          <w:rFonts w:hint="eastAsia" w:ascii="Times New Roman" w:hAnsi="Times New Roman" w:eastAsia="仿宋_GB2312" w:cs="Times New Roman"/>
          <w:bCs/>
          <w:color w:val="000000"/>
          <w:sz w:val="32"/>
          <w:szCs w:val="32"/>
        </w:rPr>
        <w:t>0</w:t>
      </w:r>
      <w:r>
        <w:rPr>
          <w:rFonts w:ascii="Times New Roman" w:hAnsi="Times New Roman" w:eastAsia="仿宋_GB2312" w:cs="Times New Roman"/>
          <w:bCs/>
          <w:color w:val="000000"/>
          <w:sz w:val="32"/>
          <w:szCs w:val="32"/>
        </w:rPr>
        <w:t>万元，下降</w:t>
      </w:r>
      <w:r>
        <w:rPr>
          <w:rFonts w:hint="eastAsia" w:ascii="Times New Roman" w:hAnsi="Times New Roman" w:eastAsia="仿宋_GB2312" w:cs="Times New Roman"/>
          <w:bCs/>
          <w:color w:val="000000"/>
          <w:sz w:val="32"/>
          <w:szCs w:val="32"/>
        </w:rPr>
        <w:t>0</w:t>
      </w:r>
      <w:r>
        <w:rPr>
          <w:rFonts w:ascii="Times New Roman" w:hAnsi="Times New Roman" w:eastAsia="仿宋_GB2312" w:cs="Times New Roman"/>
          <w:bCs/>
          <w:color w:val="000000"/>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八、政府性基金预算情况说明</w:t>
      </w:r>
    </w:p>
    <w:p>
      <w:pPr>
        <w:pStyle w:val="5"/>
        <w:spacing w:before="0" w:beforeAutospacing="0" w:after="0" w:afterAutospacing="0" w:line="540" w:lineRule="exact"/>
        <w:jc w:val="both"/>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2023年我单位无政府性基金预算支出安排。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九、国有资本经营预算情况说明</w:t>
      </w:r>
    </w:p>
    <w:p>
      <w:pPr>
        <w:pStyle w:val="5"/>
        <w:spacing w:before="0" w:beforeAutospacing="0" w:after="0" w:afterAutospacing="0" w:line="54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2023年单位</w:t>
      </w:r>
      <w:r>
        <w:rPr>
          <w:rFonts w:ascii="Times New Roman" w:hAnsi="Times New Roman" w:eastAsia="仿宋_GB2312" w:cs="Times New Roman"/>
          <w:bCs/>
          <w:color w:val="000000"/>
          <w:sz w:val="32"/>
          <w:szCs w:val="32"/>
        </w:rPr>
        <w:t>国有资本经营</w:t>
      </w:r>
      <w:r>
        <w:rPr>
          <w:rFonts w:hint="eastAsia" w:ascii="Times New Roman" w:hAnsi="Times New Roman" w:eastAsia="仿宋_GB2312" w:cs="Times New Roman"/>
          <w:bCs/>
          <w:color w:val="000000"/>
          <w:sz w:val="32"/>
          <w:szCs w:val="32"/>
        </w:rPr>
        <w:t>无</w:t>
      </w:r>
      <w:r>
        <w:rPr>
          <w:rFonts w:ascii="Times New Roman" w:hAnsi="Times New Roman" w:eastAsia="仿宋_GB2312" w:cs="Times New Roman"/>
          <w:bCs/>
          <w:color w:val="000000"/>
          <w:sz w:val="32"/>
          <w:szCs w:val="32"/>
        </w:rPr>
        <w:t>预算支出</w:t>
      </w:r>
      <w:r>
        <w:rPr>
          <w:rFonts w:hint="eastAsia" w:ascii="Times New Roman" w:hAnsi="Times New Roman" w:eastAsia="仿宋_GB2312" w:cs="Times New Roman"/>
          <w:bCs/>
          <w:color w:val="000000"/>
          <w:sz w:val="32"/>
          <w:szCs w:val="32"/>
        </w:rPr>
        <w:t>安排。</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十、政府采购预算情况说明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2023年政府采购预算</w:t>
      </w:r>
      <w:r>
        <w:rPr>
          <w:rFonts w:hint="eastAsia" w:eastAsia="仿宋_GB2312"/>
          <w:bCs/>
          <w:color w:val="000000"/>
          <w:kern w:val="0"/>
          <w:sz w:val="32"/>
          <w:szCs w:val="32"/>
        </w:rPr>
        <w:t>153.36</w:t>
      </w:r>
      <w:r>
        <w:rPr>
          <w:rFonts w:eastAsia="仿宋_GB2312"/>
          <w:bCs/>
          <w:color w:val="000000"/>
          <w:kern w:val="0"/>
          <w:sz w:val="32"/>
          <w:szCs w:val="32"/>
        </w:rPr>
        <w:t>万元，同比增加</w:t>
      </w:r>
      <w:r>
        <w:rPr>
          <w:rFonts w:hint="eastAsia" w:eastAsia="仿宋_GB2312"/>
          <w:bCs/>
          <w:color w:val="000000"/>
          <w:kern w:val="0"/>
          <w:sz w:val="32"/>
          <w:szCs w:val="32"/>
        </w:rPr>
        <w:t>73.36</w:t>
      </w:r>
      <w:r>
        <w:rPr>
          <w:rFonts w:eastAsia="仿宋_GB2312"/>
          <w:bCs/>
          <w:color w:val="000000"/>
          <w:kern w:val="0"/>
          <w:sz w:val="32"/>
          <w:szCs w:val="32"/>
        </w:rPr>
        <w:t>万元，增长</w:t>
      </w:r>
      <w:r>
        <w:rPr>
          <w:rFonts w:hint="eastAsia" w:eastAsia="仿宋_GB2312"/>
          <w:bCs/>
          <w:color w:val="000000"/>
          <w:kern w:val="0"/>
          <w:sz w:val="32"/>
          <w:szCs w:val="32"/>
        </w:rPr>
        <w:t>47</w:t>
      </w:r>
      <w:r>
        <w:rPr>
          <w:rFonts w:eastAsia="仿宋_GB2312"/>
          <w:bCs/>
          <w:color w:val="000000"/>
          <w:kern w:val="0"/>
          <w:sz w:val="32"/>
          <w:szCs w:val="32"/>
        </w:rPr>
        <w:t>%。</w:t>
      </w:r>
      <w:r>
        <w:rPr>
          <w:rFonts w:hint="eastAsia" w:eastAsia="仿宋_GB2312"/>
          <w:bCs/>
          <w:color w:val="000000"/>
          <w:kern w:val="0"/>
          <w:sz w:val="32"/>
          <w:szCs w:val="32"/>
        </w:rPr>
        <w:t>其中：</w:t>
      </w:r>
      <w:r>
        <w:rPr>
          <w:rFonts w:eastAsia="仿宋_GB2312"/>
          <w:bCs/>
          <w:color w:val="000000"/>
          <w:kern w:val="0"/>
          <w:sz w:val="32"/>
          <w:szCs w:val="32"/>
        </w:rPr>
        <w:t>政府集中采购预算</w:t>
      </w:r>
      <w:r>
        <w:rPr>
          <w:rFonts w:hint="eastAsia" w:eastAsia="仿宋_GB2312"/>
          <w:bCs/>
          <w:color w:val="000000"/>
          <w:kern w:val="0"/>
          <w:sz w:val="32"/>
          <w:szCs w:val="32"/>
        </w:rPr>
        <w:t>0</w:t>
      </w:r>
      <w:r>
        <w:rPr>
          <w:rFonts w:eastAsia="仿宋_GB2312"/>
          <w:bCs/>
          <w:color w:val="000000"/>
          <w:kern w:val="0"/>
          <w:sz w:val="32"/>
          <w:szCs w:val="32"/>
        </w:rPr>
        <w:t>万元，分散采购预算</w:t>
      </w:r>
      <w:r>
        <w:rPr>
          <w:rFonts w:hint="eastAsia" w:eastAsia="仿宋_GB2312"/>
          <w:bCs/>
          <w:color w:val="000000"/>
          <w:kern w:val="0"/>
          <w:sz w:val="32"/>
          <w:szCs w:val="32"/>
        </w:rPr>
        <w:t>153.36</w:t>
      </w:r>
      <w:r>
        <w:rPr>
          <w:rFonts w:eastAsia="仿宋_GB2312"/>
          <w:bCs/>
          <w:color w:val="000000"/>
          <w:kern w:val="0"/>
          <w:sz w:val="32"/>
          <w:szCs w:val="32"/>
        </w:rPr>
        <w:t>万元，占政府采购预算的</w:t>
      </w:r>
      <w:r>
        <w:rPr>
          <w:rFonts w:hint="eastAsia" w:eastAsia="仿宋_GB2312"/>
          <w:bCs/>
          <w:color w:val="000000"/>
          <w:kern w:val="0"/>
          <w:sz w:val="32"/>
          <w:szCs w:val="32"/>
        </w:rPr>
        <w:t>100</w:t>
      </w:r>
      <w:r>
        <w:rPr>
          <w:rFonts w:eastAsia="仿宋_GB2312"/>
          <w:bCs/>
          <w:color w:val="000000"/>
          <w:kern w:val="0"/>
          <w:sz w:val="32"/>
          <w:szCs w:val="32"/>
        </w:rPr>
        <w:t>%，增加</w:t>
      </w:r>
      <w:r>
        <w:rPr>
          <w:rFonts w:hint="eastAsia" w:eastAsia="仿宋_GB2312"/>
          <w:bCs/>
          <w:color w:val="000000"/>
          <w:kern w:val="0"/>
          <w:sz w:val="32"/>
          <w:szCs w:val="32"/>
        </w:rPr>
        <w:t>153.36</w:t>
      </w:r>
      <w:r>
        <w:rPr>
          <w:rFonts w:eastAsia="仿宋_GB2312"/>
          <w:bCs/>
          <w:color w:val="000000"/>
          <w:kern w:val="0"/>
          <w:sz w:val="32"/>
          <w:szCs w:val="32"/>
        </w:rPr>
        <w:t>万元，增长</w:t>
      </w:r>
      <w:r>
        <w:rPr>
          <w:rFonts w:hint="eastAsia" w:eastAsia="仿宋_GB2312"/>
          <w:bCs/>
          <w:color w:val="000000"/>
          <w:kern w:val="0"/>
          <w:sz w:val="32"/>
          <w:szCs w:val="32"/>
        </w:rPr>
        <w:t>100</w:t>
      </w:r>
      <w:r>
        <w:rPr>
          <w:rFonts w:eastAsia="仿宋_GB2312"/>
          <w:bCs/>
          <w:color w:val="000000"/>
          <w:kern w:val="0"/>
          <w:sz w:val="32"/>
          <w:szCs w:val="32"/>
        </w:rPr>
        <w:t>%。</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按政府采购项目类型划分</w:t>
      </w:r>
      <w:r>
        <w:rPr>
          <w:rFonts w:hint="eastAsia" w:eastAsia="仿宋_GB2312"/>
          <w:bCs/>
          <w:color w:val="000000"/>
          <w:kern w:val="0"/>
          <w:sz w:val="32"/>
          <w:szCs w:val="32"/>
        </w:rPr>
        <w:t>，其中：</w:t>
      </w:r>
      <w:r>
        <w:rPr>
          <w:rFonts w:eastAsia="仿宋_GB2312"/>
          <w:bCs/>
          <w:color w:val="000000"/>
          <w:kern w:val="0"/>
          <w:sz w:val="32"/>
          <w:szCs w:val="32"/>
        </w:rPr>
        <w:t>货物类采购预算</w:t>
      </w:r>
      <w:r>
        <w:rPr>
          <w:rFonts w:hint="eastAsia" w:eastAsia="仿宋_GB2312"/>
          <w:bCs/>
          <w:color w:val="000000"/>
          <w:kern w:val="0"/>
          <w:sz w:val="32"/>
          <w:szCs w:val="32"/>
        </w:rPr>
        <w:t>30</w:t>
      </w:r>
      <w:r>
        <w:rPr>
          <w:rFonts w:eastAsia="仿宋_GB2312"/>
          <w:bCs/>
          <w:color w:val="000000"/>
          <w:kern w:val="0"/>
          <w:sz w:val="32"/>
          <w:szCs w:val="32"/>
        </w:rPr>
        <w:t>万元，工程类采购预算</w:t>
      </w:r>
      <w:r>
        <w:rPr>
          <w:rFonts w:hint="eastAsia" w:eastAsia="仿宋_GB2312"/>
          <w:bCs/>
          <w:color w:val="000000"/>
          <w:kern w:val="0"/>
          <w:sz w:val="32"/>
          <w:szCs w:val="32"/>
        </w:rPr>
        <w:t>100</w:t>
      </w:r>
      <w:r>
        <w:rPr>
          <w:rFonts w:eastAsia="仿宋_GB2312"/>
          <w:bCs/>
          <w:color w:val="000000"/>
          <w:kern w:val="0"/>
          <w:sz w:val="32"/>
          <w:szCs w:val="32"/>
        </w:rPr>
        <w:t>万元，服务类采购预算</w:t>
      </w:r>
      <w:r>
        <w:rPr>
          <w:rFonts w:hint="eastAsia" w:eastAsia="仿宋_GB2312"/>
          <w:bCs/>
          <w:color w:val="000000"/>
          <w:kern w:val="0"/>
          <w:sz w:val="32"/>
          <w:szCs w:val="32"/>
        </w:rPr>
        <w:t>23.36</w:t>
      </w:r>
      <w:r>
        <w:rPr>
          <w:rFonts w:eastAsia="仿宋_GB2312"/>
          <w:bCs/>
          <w:color w:val="000000"/>
          <w:kern w:val="0"/>
          <w:sz w:val="32"/>
          <w:szCs w:val="32"/>
        </w:rPr>
        <w:t>万元。</w:t>
      </w:r>
    </w:p>
    <w:p>
      <w:pPr>
        <w:spacing w:line="540" w:lineRule="exact"/>
        <w:ind w:firstLine="640" w:firstLineChars="200"/>
        <w:rPr>
          <w:rFonts w:eastAsia="仿宋_GB2312"/>
          <w:sz w:val="32"/>
          <w:szCs w:val="32"/>
        </w:rPr>
      </w:pPr>
      <w:r>
        <w:rPr>
          <w:rFonts w:eastAsia="仿宋_GB2312"/>
          <w:sz w:val="32"/>
          <w:szCs w:val="32"/>
        </w:rPr>
        <w:t>按政府采购资金来源划分</w:t>
      </w:r>
      <w:r>
        <w:rPr>
          <w:rFonts w:hint="eastAsia" w:eastAsia="仿宋_GB2312"/>
          <w:sz w:val="32"/>
          <w:szCs w:val="32"/>
        </w:rPr>
        <w:t>，其中：</w:t>
      </w:r>
      <w:r>
        <w:rPr>
          <w:rFonts w:eastAsia="仿宋_GB2312"/>
          <w:sz w:val="32"/>
          <w:szCs w:val="32"/>
        </w:rPr>
        <w:t>一般公共预算安排采购支出预算</w:t>
      </w:r>
      <w:r>
        <w:rPr>
          <w:rFonts w:hint="eastAsia" w:eastAsia="仿宋_GB2312"/>
          <w:sz w:val="32"/>
          <w:szCs w:val="32"/>
        </w:rPr>
        <w:t>153.36</w:t>
      </w:r>
      <w:r>
        <w:rPr>
          <w:rFonts w:eastAsia="仿宋_GB2312"/>
          <w:sz w:val="32"/>
          <w:szCs w:val="32"/>
        </w:rPr>
        <w:t>元，政府性基金安排采购支出预算</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spacing w:line="540" w:lineRule="exact"/>
        <w:ind w:firstLine="640" w:firstLineChars="200"/>
        <w:rPr>
          <w:rFonts w:eastAsia="仿宋_GB2312"/>
          <w:b/>
          <w:bCs/>
          <w:color w:val="C00000"/>
          <w:kern w:val="0"/>
          <w:sz w:val="32"/>
          <w:szCs w:val="32"/>
          <w:highlight w:val="cyan"/>
        </w:rPr>
      </w:pPr>
      <w:r>
        <w:rPr>
          <w:rFonts w:eastAsia="仿宋_GB2312"/>
          <w:bCs/>
          <w:color w:val="000000"/>
          <w:kern w:val="0"/>
          <w:sz w:val="32"/>
          <w:szCs w:val="32"/>
        </w:rPr>
        <w:t>2023年纳入政府购买服务预算支出</w:t>
      </w:r>
      <w:r>
        <w:rPr>
          <w:rFonts w:hint="eastAsia" w:eastAsia="仿宋_GB2312"/>
          <w:bCs/>
          <w:color w:val="000000"/>
          <w:kern w:val="0"/>
          <w:sz w:val="32"/>
          <w:szCs w:val="32"/>
        </w:rPr>
        <w:t>123.36</w:t>
      </w:r>
      <w:r>
        <w:rPr>
          <w:rFonts w:eastAsia="仿宋_GB2312"/>
          <w:bCs/>
          <w:color w:val="000000"/>
          <w:kern w:val="0"/>
          <w:sz w:val="32"/>
          <w:szCs w:val="32"/>
        </w:rPr>
        <w:t>万元，其中：</w:t>
      </w:r>
      <w:r>
        <w:rPr>
          <w:rFonts w:eastAsia="仿宋_GB2312"/>
          <w:sz w:val="32"/>
          <w:szCs w:val="32"/>
        </w:rPr>
        <w:t>通过一般公共预算安排购买服务支出预算</w:t>
      </w:r>
      <w:r>
        <w:rPr>
          <w:rFonts w:hint="eastAsia" w:eastAsia="仿宋_GB2312"/>
          <w:sz w:val="32"/>
          <w:szCs w:val="32"/>
        </w:rPr>
        <w:t>123.36</w:t>
      </w:r>
      <w:r>
        <w:rPr>
          <w:rFonts w:eastAsia="仿宋_GB2312"/>
          <w:sz w:val="32"/>
          <w:szCs w:val="32"/>
        </w:rPr>
        <w:t>万元，通过政府性基金安排购买服务支出预算</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十二、</w:t>
      </w:r>
      <w:r>
        <w:rPr>
          <w:rFonts w:hint="eastAsia" w:eastAsia="黑体"/>
          <w:color w:val="000000"/>
          <w:kern w:val="0"/>
          <w:sz w:val="32"/>
          <w:szCs w:val="32"/>
        </w:rPr>
        <w:t>重点项目支出绩效目标情况说明</w:t>
      </w:r>
    </w:p>
    <w:p>
      <w:pPr>
        <w:spacing w:line="540" w:lineRule="exact"/>
        <w:ind w:firstLine="640" w:firstLineChars="200"/>
        <w:rPr>
          <w:rFonts w:eastAsia="仿宋_GB2312"/>
          <w:sz w:val="32"/>
          <w:szCs w:val="32"/>
          <w:highlight w:val="yellow"/>
        </w:rPr>
      </w:pPr>
      <w:r>
        <w:rPr>
          <w:rFonts w:eastAsia="仿宋_GB2312"/>
          <w:bCs/>
          <w:color w:val="000000"/>
          <w:kern w:val="0"/>
          <w:sz w:val="32"/>
          <w:szCs w:val="32"/>
        </w:rPr>
        <w:t>2023年预算绩效目标公开的项目是</w:t>
      </w:r>
      <w:r>
        <w:rPr>
          <w:rFonts w:hint="eastAsia" w:eastAsia="仿宋_GB2312"/>
          <w:bCs/>
          <w:color w:val="000000"/>
          <w:kern w:val="0"/>
          <w:sz w:val="32"/>
          <w:szCs w:val="32"/>
        </w:rPr>
        <w:t>拆除违法建筑经费</w:t>
      </w:r>
      <w:r>
        <w:rPr>
          <w:rFonts w:eastAsia="仿宋_GB2312"/>
          <w:bCs/>
          <w:color w:val="000000"/>
          <w:kern w:val="0"/>
          <w:sz w:val="32"/>
          <w:szCs w:val="32"/>
        </w:rPr>
        <w:t>，预算支出</w:t>
      </w:r>
      <w:r>
        <w:rPr>
          <w:rFonts w:hint="eastAsia" w:eastAsia="仿宋_GB2312"/>
          <w:bCs/>
          <w:color w:val="000000"/>
          <w:kern w:val="0"/>
          <w:sz w:val="32"/>
          <w:szCs w:val="32"/>
        </w:rPr>
        <w:t>100</w:t>
      </w:r>
      <w:r>
        <w:rPr>
          <w:rFonts w:eastAsia="仿宋_GB2312"/>
          <w:bCs/>
          <w:color w:val="000000"/>
          <w:kern w:val="0"/>
          <w:sz w:val="32"/>
          <w:szCs w:val="32"/>
        </w:rPr>
        <w:t>万元，通过一般公共预算安排支出</w:t>
      </w:r>
      <w:r>
        <w:rPr>
          <w:rFonts w:hint="eastAsia" w:eastAsia="仿宋_GB2312"/>
          <w:bCs/>
          <w:color w:val="000000"/>
          <w:kern w:val="0"/>
          <w:sz w:val="32"/>
          <w:szCs w:val="32"/>
        </w:rPr>
        <w:t>100</w:t>
      </w:r>
      <w:r>
        <w:rPr>
          <w:rFonts w:eastAsia="仿宋_GB2312"/>
          <w:bCs/>
          <w:color w:val="000000"/>
          <w:kern w:val="0"/>
          <w:sz w:val="32"/>
          <w:szCs w:val="32"/>
        </w:rPr>
        <w:t>万元</w:t>
      </w:r>
      <w:r>
        <w:rPr>
          <w:rFonts w:hint="eastAsia" w:eastAsia="仿宋_GB2312"/>
          <w:bCs/>
          <w:color w:val="000000"/>
          <w:kern w:val="0"/>
          <w:sz w:val="32"/>
          <w:szCs w:val="32"/>
        </w:rPr>
        <w:t>。</w:t>
      </w:r>
    </w:p>
    <w:p>
      <w:pPr>
        <w:tabs>
          <w:tab w:val="center" w:pos="4475"/>
        </w:tabs>
        <w:spacing w:line="540" w:lineRule="exact"/>
        <w:ind w:firstLine="640" w:firstLineChars="200"/>
        <w:rPr>
          <w:rFonts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2023年单位预算其他重要事项情况说明</w:t>
      </w:r>
    </w:p>
    <w:p>
      <w:pPr>
        <w:tabs>
          <w:tab w:val="center" w:pos="4475"/>
        </w:tabs>
        <w:spacing w:line="540" w:lineRule="exact"/>
        <w:ind w:firstLine="645"/>
        <w:rPr>
          <w:rFonts w:eastAsia="仿宋_GB2312"/>
          <w:sz w:val="32"/>
          <w:szCs w:val="32"/>
          <w:highlight w:val="cyan"/>
        </w:rPr>
      </w:pPr>
      <w:r>
        <w:rPr>
          <w:rFonts w:eastAsia="楷体_GB2312"/>
          <w:b/>
          <w:color w:val="000000"/>
          <w:sz w:val="32"/>
          <w:szCs w:val="32"/>
        </w:rPr>
        <w:t>（一）事业单位相关运行经费安排情况说明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2023年行政运行预算</w:t>
      </w:r>
      <w:r>
        <w:rPr>
          <w:rFonts w:hint="eastAsia" w:eastAsia="仿宋_GB2312"/>
          <w:bCs/>
          <w:color w:val="000000"/>
          <w:kern w:val="0"/>
          <w:sz w:val="32"/>
          <w:szCs w:val="32"/>
        </w:rPr>
        <w:t>149.51</w:t>
      </w:r>
      <w:r>
        <w:rPr>
          <w:rFonts w:eastAsia="仿宋_GB2312"/>
          <w:bCs/>
          <w:color w:val="000000"/>
          <w:kern w:val="0"/>
          <w:sz w:val="32"/>
          <w:szCs w:val="32"/>
        </w:rPr>
        <w:t>万元，同比减少</w:t>
      </w:r>
      <w:r>
        <w:rPr>
          <w:rFonts w:hint="eastAsia" w:eastAsia="仿宋_GB2312"/>
          <w:bCs/>
          <w:color w:val="000000"/>
          <w:kern w:val="0"/>
          <w:sz w:val="32"/>
          <w:szCs w:val="32"/>
        </w:rPr>
        <w:t>7.4</w:t>
      </w:r>
      <w:r>
        <w:rPr>
          <w:rFonts w:eastAsia="仿宋_GB2312"/>
          <w:bCs/>
          <w:color w:val="000000"/>
          <w:kern w:val="0"/>
          <w:sz w:val="32"/>
          <w:szCs w:val="32"/>
        </w:rPr>
        <w:t>万元，同比下降</w:t>
      </w:r>
      <w:r>
        <w:rPr>
          <w:rFonts w:hint="eastAsia" w:eastAsia="仿宋_GB2312"/>
          <w:bCs/>
          <w:color w:val="000000"/>
          <w:kern w:val="0"/>
          <w:sz w:val="32"/>
          <w:szCs w:val="32"/>
        </w:rPr>
        <w:t>4.7</w:t>
      </w:r>
      <w:r>
        <w:rPr>
          <w:rFonts w:eastAsia="仿宋_GB2312"/>
          <w:bCs/>
          <w:color w:val="000000"/>
          <w:kern w:val="0"/>
          <w:sz w:val="32"/>
          <w:szCs w:val="32"/>
        </w:rPr>
        <w:t>%，</w:t>
      </w:r>
      <w:r>
        <w:rPr>
          <w:rFonts w:hint="eastAsia" w:eastAsia="仿宋_GB2312"/>
          <w:bCs/>
          <w:color w:val="000000"/>
          <w:kern w:val="0"/>
          <w:sz w:val="32"/>
          <w:szCs w:val="32"/>
          <w:lang w:eastAsia="zh-CN"/>
        </w:rPr>
        <w:t>主要用于</w:t>
      </w:r>
      <w:r>
        <w:rPr>
          <w:rFonts w:eastAsia="仿宋_GB2312"/>
          <w:color w:val="000000"/>
          <w:kern w:val="0"/>
          <w:sz w:val="32"/>
          <w:szCs w:val="32"/>
        </w:rPr>
        <w:t>购买货物和服务的各项资金，包括办公及印刷费、邮电费、差旅费、会议费、福利费、日常维修费、专用材料及一般设备购置费、办公用房水电费</w:t>
      </w:r>
      <w:r>
        <w:rPr>
          <w:rFonts w:eastAsia="仿宋_GB2312"/>
          <w:bCs/>
          <w:color w:val="000000"/>
          <w:kern w:val="0"/>
          <w:sz w:val="32"/>
          <w:szCs w:val="32"/>
        </w:rPr>
        <w:t>。行政运行经费减少的原因：</w:t>
      </w:r>
      <w:r>
        <w:rPr>
          <w:rFonts w:hint="eastAsia" w:eastAsia="仿宋_GB2312"/>
          <w:bCs/>
          <w:color w:val="000000"/>
          <w:kern w:val="0"/>
          <w:sz w:val="32"/>
          <w:szCs w:val="32"/>
        </w:rPr>
        <w:t>减少预算。</w:t>
      </w:r>
    </w:p>
    <w:p>
      <w:pPr>
        <w:pStyle w:val="5"/>
        <w:spacing w:before="0" w:beforeAutospacing="0" w:after="0" w:afterAutospacing="0" w:line="540" w:lineRule="exact"/>
        <w:ind w:firstLine="643"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（二）国有资产占用情况说明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w:t>
      </w:r>
      <w:r>
        <w:rPr>
          <w:rFonts w:hint="eastAsia" w:eastAsia="仿宋_GB2312"/>
          <w:bCs/>
          <w:color w:val="000000"/>
          <w:kern w:val="0"/>
          <w:sz w:val="32"/>
          <w:szCs w:val="32"/>
        </w:rPr>
        <w:t>我</w:t>
      </w:r>
      <w:r>
        <w:rPr>
          <w:rFonts w:eastAsia="仿宋_GB2312"/>
          <w:bCs/>
          <w:color w:val="000000"/>
          <w:kern w:val="0"/>
          <w:sz w:val="32"/>
          <w:szCs w:val="32"/>
        </w:rPr>
        <w:t>单位</w:t>
      </w:r>
      <w:r>
        <w:rPr>
          <w:rFonts w:hint="eastAsia" w:eastAsia="仿宋_GB2312"/>
          <w:bCs/>
          <w:color w:val="000000"/>
          <w:kern w:val="0"/>
          <w:sz w:val="32"/>
          <w:szCs w:val="32"/>
        </w:rPr>
        <w:t>无国有资产占用相关情况。</w:t>
      </w:r>
      <w:r>
        <w:rPr>
          <w:rFonts w:eastAsia="仿宋_GB2312"/>
          <w:bCs/>
          <w:color w:val="000000"/>
          <w:kern w:val="0"/>
          <w:sz w:val="32"/>
          <w:szCs w:val="32"/>
        </w:rPr>
        <w:t>实有在编车辆</w:t>
      </w:r>
      <w:r>
        <w:rPr>
          <w:rFonts w:hint="eastAsia" w:eastAsia="仿宋_GB2312"/>
          <w:bCs/>
          <w:color w:val="000000"/>
          <w:kern w:val="0"/>
          <w:sz w:val="32"/>
          <w:szCs w:val="32"/>
        </w:rPr>
        <w:t>1</w:t>
      </w:r>
      <w:r>
        <w:rPr>
          <w:rFonts w:eastAsia="仿宋_GB2312"/>
          <w:bCs/>
          <w:color w:val="000000"/>
          <w:kern w:val="0"/>
          <w:sz w:val="32"/>
          <w:szCs w:val="32"/>
        </w:rPr>
        <w:t>辆，车辆为</w:t>
      </w:r>
      <w:r>
        <w:rPr>
          <w:rFonts w:hint="eastAsia" w:ascii="仿宋_GB2312" w:eastAsia="仿宋_GB2312" w:cs="仿宋_GB2312"/>
          <w:sz w:val="32"/>
          <w:szCs w:val="32"/>
        </w:rPr>
        <w:t>鱼峰区城市管理行政执法局</w:t>
      </w:r>
      <w:r>
        <w:rPr>
          <w:rFonts w:eastAsia="仿宋_GB2312"/>
          <w:bCs/>
          <w:color w:val="000000"/>
          <w:kern w:val="0"/>
          <w:sz w:val="32"/>
          <w:szCs w:val="32"/>
        </w:rPr>
        <w:t>所有，按用途划分：</w:t>
      </w:r>
      <w:r>
        <w:rPr>
          <w:rFonts w:hint="eastAsia" w:eastAsia="仿宋_GB2312"/>
          <w:bCs/>
          <w:color w:val="000000"/>
          <w:kern w:val="0"/>
          <w:sz w:val="32"/>
          <w:szCs w:val="32"/>
        </w:rPr>
        <w:t>执法执勤用车。</w:t>
      </w:r>
    </w:p>
    <w:p>
      <w:pPr>
        <w:spacing w:line="540" w:lineRule="exact"/>
        <w:rPr>
          <w:rFonts w:eastAsia="仿宋_GB2312"/>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第三部分：</w:t>
      </w:r>
      <w:r>
        <w:rPr>
          <w:rFonts w:hint="eastAsia" w:eastAsia="黑体"/>
          <w:color w:val="000000"/>
          <w:kern w:val="0"/>
          <w:sz w:val="32"/>
          <w:szCs w:val="32"/>
        </w:rPr>
        <w:t>鱼峰区城市管理行政执法局</w:t>
      </w:r>
      <w:r>
        <w:rPr>
          <w:rFonts w:eastAsia="黑体"/>
          <w:color w:val="000000"/>
          <w:kern w:val="0"/>
          <w:sz w:val="32"/>
          <w:szCs w:val="32"/>
        </w:rPr>
        <w:t>2023年单位预算报表</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一、单位收支总体情况表（表1）</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二、单位收入总体情况表（表2）</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三、单位支出总体情况表（表3）</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四、财政拨款收支总体情况表（表4）</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五、一般公共预算支出情况表（表5）</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六、一般公共预算基本支出情况表（表6）</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七、财政拨款三公两费支出情况表（表7）</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八、政府性基金预算支出情况表（表8）</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九、国有资本经营预算支出情况表（表9）</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十、政府采购预算表（表10）</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十一、政府购买服务预算表（表11）</w:t>
      </w:r>
    </w:p>
    <w:p>
      <w:pPr>
        <w:pStyle w:val="5"/>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十二、</w:t>
      </w:r>
      <w:r>
        <w:rPr>
          <w:rFonts w:hint="eastAsia" w:ascii="Times New Roman" w:eastAsia="仿宋_GB2312"/>
          <w:bCs/>
          <w:color w:val="000000"/>
          <w:sz w:val="32"/>
          <w:szCs w:val="32"/>
        </w:rPr>
        <w:t>鱼峰区执法</w:t>
      </w:r>
      <w:r>
        <w:rPr>
          <w:rFonts w:ascii="Times New Roman" w:eastAsia="仿宋_GB2312"/>
          <w:bCs/>
          <w:color w:val="000000"/>
          <w:sz w:val="32"/>
          <w:szCs w:val="32"/>
        </w:rPr>
        <w:t>局</w:t>
      </w:r>
      <w:r>
        <w:rPr>
          <w:rFonts w:eastAsia="仿宋_GB2312"/>
          <w:bCs/>
          <w:color w:val="000000"/>
          <w:sz w:val="32"/>
          <w:szCs w:val="32"/>
        </w:rPr>
        <w:t>2023</w:t>
      </w:r>
      <w:r>
        <w:rPr>
          <w:rFonts w:ascii="Times New Roman" w:eastAsia="仿宋_GB2312"/>
          <w:bCs/>
          <w:color w:val="000000"/>
          <w:sz w:val="32"/>
          <w:szCs w:val="32"/>
        </w:rPr>
        <w:t>年</w:t>
      </w:r>
      <w:r>
        <w:rPr>
          <w:rFonts w:hint="eastAsia" w:eastAsia="仿宋_GB2312"/>
          <w:bCs/>
          <w:color w:val="000000"/>
          <w:sz w:val="32"/>
          <w:szCs w:val="32"/>
        </w:rPr>
        <w:t>整体</w:t>
      </w:r>
      <w:r>
        <w:rPr>
          <w:rFonts w:ascii="Times New Roman" w:eastAsia="仿宋_GB2312"/>
          <w:bCs/>
          <w:color w:val="000000"/>
          <w:sz w:val="32"/>
          <w:szCs w:val="32"/>
        </w:rPr>
        <w:t>项目支出绩效目标申报表</w:t>
      </w:r>
    </w:p>
    <w:p>
      <w:pPr>
        <w:pStyle w:val="5"/>
        <w:spacing w:before="0" w:beforeAutospacing="0" w:after="0" w:afterAutospacing="0" w:line="54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eastAsia="仿宋_GB2312"/>
          <w:sz w:val="32"/>
          <w:szCs w:val="32"/>
          <w:highlight w:val="cyan"/>
        </w:rPr>
      </w:pPr>
    </w:p>
    <w:p>
      <w:pPr>
        <w:adjustRightInd w:val="0"/>
        <w:snapToGrid w:val="0"/>
        <w:spacing w:line="540" w:lineRule="exact"/>
        <w:ind w:right="-218" w:rightChars="-104"/>
        <w:rPr>
          <w:rFonts w:eastAsia="仿宋_GB2312"/>
          <w:b/>
          <w:bCs/>
          <w:color w:val="000000"/>
          <w:sz w:val="32"/>
          <w:szCs w:val="32"/>
        </w:rPr>
      </w:pPr>
    </w:p>
    <w:p>
      <w:pPr>
        <w:adjustRightInd w:val="0"/>
        <w:snapToGrid w:val="0"/>
        <w:spacing w:line="540" w:lineRule="exact"/>
        <w:ind w:right="-218" w:rightChars="-104"/>
        <w:rPr>
          <w:rFonts w:eastAsia="仿宋_GB2312"/>
          <w:b/>
          <w:bCs/>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第四部分：名词解释</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一、财政拨款收入</w:t>
      </w:r>
      <w:r>
        <w:rPr>
          <w:rFonts w:eastAsia="仿宋_GB2312"/>
          <w:color w:val="000000"/>
          <w:kern w:val="0"/>
          <w:sz w:val="32"/>
          <w:szCs w:val="32"/>
        </w:rPr>
        <w:t>：指市本级财政部门当年拨付的资金。</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二、事业收入</w:t>
      </w:r>
      <w:r>
        <w:rPr>
          <w:rFonts w:eastAsia="仿宋_GB2312"/>
          <w:color w:val="000000"/>
          <w:kern w:val="0"/>
          <w:sz w:val="32"/>
          <w:szCs w:val="32"/>
        </w:rPr>
        <w:t>：指事业单位开展专业业务活动及辅助活动所取得的收入。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三、经营收入</w:t>
      </w:r>
      <w:r>
        <w:rPr>
          <w:rFonts w:eastAsia="仿宋_GB2312"/>
          <w:color w:val="000000"/>
          <w:kern w:val="0"/>
          <w:sz w:val="32"/>
          <w:szCs w:val="32"/>
        </w:rPr>
        <w:t>：指事业单位在专业业务活动及其辅助活动之外开展非独立核算经营活动取得的收入。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四、其他收入</w:t>
      </w:r>
      <w:r>
        <w:rPr>
          <w:rFonts w:eastAsia="仿宋_GB2312"/>
          <w:color w:val="000000"/>
          <w:kern w:val="0"/>
          <w:sz w:val="32"/>
          <w:szCs w:val="32"/>
        </w:rPr>
        <w:t>：指除上述“财政拨款收入”“事业收入”“经营收入”等以外的收入。</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五、基本支出</w:t>
      </w:r>
      <w:r>
        <w:rPr>
          <w:rFonts w:eastAsia="仿宋_GB2312"/>
          <w:color w:val="000000"/>
          <w:kern w:val="0"/>
          <w:sz w:val="32"/>
          <w:szCs w:val="32"/>
        </w:rPr>
        <w:t>：指为保障机构正常运转、完成日常工作任务而发生的人员支出和公用支出。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六、项目支出</w:t>
      </w:r>
      <w:r>
        <w:rPr>
          <w:rFonts w:eastAsia="仿宋_GB2312"/>
          <w:color w:val="000000"/>
          <w:kern w:val="0"/>
          <w:sz w:val="32"/>
          <w:szCs w:val="32"/>
        </w:rPr>
        <w:t>：指在基本支出之外为完成特定行政任务和事业发展目标所发生的支出。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七、“三公”经费</w:t>
      </w:r>
      <w:r>
        <w:rPr>
          <w:rFonts w:eastAsia="仿宋_GB2312"/>
          <w:color w:val="000000"/>
          <w:kern w:val="0"/>
          <w:sz w:val="32"/>
          <w:szCs w:val="32"/>
        </w:rPr>
        <w:t>：纳入市财政预决算管理的“三公”经费，是指市</w:t>
      </w:r>
      <w:r>
        <w:rPr>
          <w:rFonts w:eastAsia="仿宋_GB2312"/>
          <w:sz w:val="32"/>
          <w:szCs w:val="32"/>
        </w:rPr>
        <w:t>本级各部门用财政拨款安排的因公出国（境）费、公务用车购置及运行维护费和公务接待费。</w:t>
      </w:r>
      <w:r>
        <w:rPr>
          <w:rFonts w:eastAsia="仿宋_GB2312"/>
          <w:color w:val="000000"/>
          <w:kern w:val="0"/>
          <w:sz w:val="32"/>
          <w:szCs w:val="32"/>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rPr>
          <w:rFonts w:eastAsia="仿宋_GB2312"/>
          <w:color w:val="000000"/>
          <w:kern w:val="0"/>
          <w:sz w:val="32"/>
          <w:szCs w:val="32"/>
        </w:rPr>
      </w:pPr>
      <w:r>
        <w:rPr>
          <w:rFonts w:eastAsia="黑体"/>
          <w:color w:val="000000"/>
          <w:kern w:val="0"/>
          <w:sz w:val="32"/>
          <w:szCs w:val="32"/>
        </w:rPr>
        <w:t>八、机关运行经费</w:t>
      </w:r>
      <w:r>
        <w:rPr>
          <w:rFonts w:eastAsia="仿宋_GB2312"/>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rPr>
          <w:rFonts w:eastAsia="仿宋_GB2312"/>
          <w:bCs/>
          <w:color w:val="000000"/>
          <w:kern w:val="0"/>
          <w:sz w:val="32"/>
          <w:szCs w:val="3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175260"/>
              <wp:effectExtent l="0" t="0" r="6350" b="8890"/>
              <wp:wrapNone/>
              <wp:docPr id="1" name="文本框 1"/>
              <wp:cNvGraphicFramePr/>
              <a:graphic xmlns:a="http://schemas.openxmlformats.org/drawingml/2006/main">
                <a:graphicData uri="http://schemas.microsoft.com/office/word/2010/wordprocessingShape">
                  <wps:wsp>
                    <wps:cNvSpPr txBox="1"/>
                    <wps:spPr>
                      <a:xfrm>
                        <a:off x="0" y="0"/>
                        <a:ext cx="254000" cy="175260"/>
                      </a:xfrm>
                      <a:prstGeom prst="rect">
                        <a:avLst/>
                      </a:prstGeom>
                      <a:noFill/>
                      <a:ln w="6350">
                        <a:noFill/>
                      </a:ln>
                    </wps:spPr>
                    <wps:txbx>
                      <w:txbxContent>
                        <w:p>
                          <w:pPr>
                            <w:pStyle w:val="3"/>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- 2 -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8pt;width:20pt;mso-position-horizontal:center;mso-position-horizontal-relative:margin;mso-wrap-style:none;z-index:251659264;mso-width-relative:page;mso-height-relative:page;" filled="f" stroked="f" coordsize="21600,21600" o:gfxdata="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KyjRTRAAAAAwEAAA8AAAAAAAAAAQAgAAAAIgAAAGRycy9kb3ducmV2LnhtbFBLAQIUABQAAAAI&#10;AIdO4kAc0qsYLQIAAFMEAAAOAAAAAAAAAAEAIAAAACABAABkcnMvZTJvRG9jLnhtbFBLBQYAAAAA&#10;BgAGAFkBAAC/BQAAAAA=&#10;">
              <v:fill on="f" focussize="0,0"/>
              <v:stroke on="f" weight="0.5pt"/>
              <v:imagedata o:title=""/>
              <o:lock v:ext="edit" aspectratio="f"/>
              <v:textbox inset="0mm,0mm,0mm,0mm" style="mso-fit-shape-to-text:t;">
                <w:txbxContent>
                  <w:p>
                    <w:pPr>
                      <w:pStyle w:val="3"/>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- 2 -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60BA7E18"/>
    <w:rsid w:val="000278BA"/>
    <w:rsid w:val="000D6428"/>
    <w:rsid w:val="001504DC"/>
    <w:rsid w:val="001B4D6E"/>
    <w:rsid w:val="001D0174"/>
    <w:rsid w:val="001E7FAA"/>
    <w:rsid w:val="00287C56"/>
    <w:rsid w:val="002F0DCF"/>
    <w:rsid w:val="0037706B"/>
    <w:rsid w:val="003A5F5D"/>
    <w:rsid w:val="00494193"/>
    <w:rsid w:val="00513432"/>
    <w:rsid w:val="005142CC"/>
    <w:rsid w:val="005825D9"/>
    <w:rsid w:val="005965B1"/>
    <w:rsid w:val="005B4079"/>
    <w:rsid w:val="006B2482"/>
    <w:rsid w:val="007070DB"/>
    <w:rsid w:val="00792F57"/>
    <w:rsid w:val="007F62FE"/>
    <w:rsid w:val="00891A18"/>
    <w:rsid w:val="008F7304"/>
    <w:rsid w:val="009A45ED"/>
    <w:rsid w:val="00A10307"/>
    <w:rsid w:val="00A21F26"/>
    <w:rsid w:val="00A534E9"/>
    <w:rsid w:val="00AA62EB"/>
    <w:rsid w:val="00B94550"/>
    <w:rsid w:val="00BF3240"/>
    <w:rsid w:val="00C67C57"/>
    <w:rsid w:val="00C77DCE"/>
    <w:rsid w:val="00DA0283"/>
    <w:rsid w:val="00DD6969"/>
    <w:rsid w:val="00E0147D"/>
    <w:rsid w:val="00E119B0"/>
    <w:rsid w:val="00E50D43"/>
    <w:rsid w:val="00EE1A73"/>
    <w:rsid w:val="00F03D4B"/>
    <w:rsid w:val="00FE3710"/>
    <w:rsid w:val="039039D0"/>
    <w:rsid w:val="04D24BCF"/>
    <w:rsid w:val="06F74C5E"/>
    <w:rsid w:val="08FF7979"/>
    <w:rsid w:val="0A2E4BCD"/>
    <w:rsid w:val="0A4C2ED5"/>
    <w:rsid w:val="0BFC58B1"/>
    <w:rsid w:val="0D1535C8"/>
    <w:rsid w:val="0D327C14"/>
    <w:rsid w:val="0D3F1BCE"/>
    <w:rsid w:val="0D3F2F2A"/>
    <w:rsid w:val="0D7657E4"/>
    <w:rsid w:val="0E7B32AB"/>
    <w:rsid w:val="0F2A37E7"/>
    <w:rsid w:val="0F7649A9"/>
    <w:rsid w:val="11833F60"/>
    <w:rsid w:val="14535FCB"/>
    <w:rsid w:val="149F5A8C"/>
    <w:rsid w:val="16DF61CE"/>
    <w:rsid w:val="189E4C90"/>
    <w:rsid w:val="19766845"/>
    <w:rsid w:val="1A2D17F3"/>
    <w:rsid w:val="1A4D5C69"/>
    <w:rsid w:val="1AA862E8"/>
    <w:rsid w:val="1AAC4608"/>
    <w:rsid w:val="1B022D71"/>
    <w:rsid w:val="1B09184B"/>
    <w:rsid w:val="1B1C651A"/>
    <w:rsid w:val="1BD645A0"/>
    <w:rsid w:val="1C6D125C"/>
    <w:rsid w:val="1CBF6A8F"/>
    <w:rsid w:val="1D1E443D"/>
    <w:rsid w:val="1F8E3C03"/>
    <w:rsid w:val="20F444C4"/>
    <w:rsid w:val="227E5E97"/>
    <w:rsid w:val="22F64AD3"/>
    <w:rsid w:val="23487E57"/>
    <w:rsid w:val="25A476FA"/>
    <w:rsid w:val="25EA7511"/>
    <w:rsid w:val="268B6757"/>
    <w:rsid w:val="26D566B6"/>
    <w:rsid w:val="27137C9D"/>
    <w:rsid w:val="27F42CC0"/>
    <w:rsid w:val="284A0B1D"/>
    <w:rsid w:val="28933567"/>
    <w:rsid w:val="292D02BB"/>
    <w:rsid w:val="292E6828"/>
    <w:rsid w:val="2987521D"/>
    <w:rsid w:val="2ACA5E0E"/>
    <w:rsid w:val="2D154F72"/>
    <w:rsid w:val="2E373F4F"/>
    <w:rsid w:val="2E517642"/>
    <w:rsid w:val="2E9F6F67"/>
    <w:rsid w:val="2F716326"/>
    <w:rsid w:val="2FCC0262"/>
    <w:rsid w:val="32BE1E14"/>
    <w:rsid w:val="33905359"/>
    <w:rsid w:val="34574D2F"/>
    <w:rsid w:val="346F0F18"/>
    <w:rsid w:val="356527AB"/>
    <w:rsid w:val="35B42E49"/>
    <w:rsid w:val="36065692"/>
    <w:rsid w:val="367138B5"/>
    <w:rsid w:val="36875C03"/>
    <w:rsid w:val="36DE2BB1"/>
    <w:rsid w:val="378435A3"/>
    <w:rsid w:val="37B040C7"/>
    <w:rsid w:val="37C47690"/>
    <w:rsid w:val="38B82626"/>
    <w:rsid w:val="38E24D2C"/>
    <w:rsid w:val="3B2722B4"/>
    <w:rsid w:val="3C201166"/>
    <w:rsid w:val="3C2A333F"/>
    <w:rsid w:val="3C3D186F"/>
    <w:rsid w:val="3DAF087A"/>
    <w:rsid w:val="3DED5EF3"/>
    <w:rsid w:val="3E2C1C58"/>
    <w:rsid w:val="3FCF51C4"/>
    <w:rsid w:val="400E2A5D"/>
    <w:rsid w:val="405C2DB9"/>
    <w:rsid w:val="41152945"/>
    <w:rsid w:val="41BC3DD1"/>
    <w:rsid w:val="427A2E0C"/>
    <w:rsid w:val="46776394"/>
    <w:rsid w:val="46DA720E"/>
    <w:rsid w:val="46EB6390"/>
    <w:rsid w:val="476D7D01"/>
    <w:rsid w:val="47F204A3"/>
    <w:rsid w:val="481260EC"/>
    <w:rsid w:val="486277F8"/>
    <w:rsid w:val="49CB038D"/>
    <w:rsid w:val="4A1B7B71"/>
    <w:rsid w:val="4A4B4DA2"/>
    <w:rsid w:val="4AFC293E"/>
    <w:rsid w:val="4E6B1E68"/>
    <w:rsid w:val="4EE71C23"/>
    <w:rsid w:val="4F8337B4"/>
    <w:rsid w:val="50604878"/>
    <w:rsid w:val="50C05F34"/>
    <w:rsid w:val="511E4DD5"/>
    <w:rsid w:val="51A111EE"/>
    <w:rsid w:val="52975412"/>
    <w:rsid w:val="52B14284"/>
    <w:rsid w:val="539F3EE9"/>
    <w:rsid w:val="53EC14E0"/>
    <w:rsid w:val="54136427"/>
    <w:rsid w:val="55206F99"/>
    <w:rsid w:val="554E0F9B"/>
    <w:rsid w:val="5579192C"/>
    <w:rsid w:val="56067A4A"/>
    <w:rsid w:val="572A1B04"/>
    <w:rsid w:val="58A128B6"/>
    <w:rsid w:val="59C36591"/>
    <w:rsid w:val="59FB11F7"/>
    <w:rsid w:val="5A5B1D0A"/>
    <w:rsid w:val="5A87246F"/>
    <w:rsid w:val="5B4F71C2"/>
    <w:rsid w:val="5BF42360"/>
    <w:rsid w:val="5C1F31C0"/>
    <w:rsid w:val="5C4555C3"/>
    <w:rsid w:val="5C8E77E6"/>
    <w:rsid w:val="5C9353DB"/>
    <w:rsid w:val="5CFA244E"/>
    <w:rsid w:val="5E8B0D73"/>
    <w:rsid w:val="5FEE2226"/>
    <w:rsid w:val="60104D6B"/>
    <w:rsid w:val="60BA7E18"/>
    <w:rsid w:val="617213C4"/>
    <w:rsid w:val="62C6094E"/>
    <w:rsid w:val="63433BEC"/>
    <w:rsid w:val="634A1559"/>
    <w:rsid w:val="64417CBA"/>
    <w:rsid w:val="644C60B2"/>
    <w:rsid w:val="645C7B82"/>
    <w:rsid w:val="647D5995"/>
    <w:rsid w:val="649D42AD"/>
    <w:rsid w:val="660E4029"/>
    <w:rsid w:val="663A4543"/>
    <w:rsid w:val="67211B33"/>
    <w:rsid w:val="673170DE"/>
    <w:rsid w:val="67465D2D"/>
    <w:rsid w:val="68373019"/>
    <w:rsid w:val="69805AEF"/>
    <w:rsid w:val="6A175217"/>
    <w:rsid w:val="6A2F6AA8"/>
    <w:rsid w:val="6A5400AD"/>
    <w:rsid w:val="6A59179A"/>
    <w:rsid w:val="6B247301"/>
    <w:rsid w:val="6B41776E"/>
    <w:rsid w:val="6BFF3185"/>
    <w:rsid w:val="6E905D60"/>
    <w:rsid w:val="6F792599"/>
    <w:rsid w:val="70693E8F"/>
    <w:rsid w:val="71154A6E"/>
    <w:rsid w:val="715F0C85"/>
    <w:rsid w:val="72895EB2"/>
    <w:rsid w:val="730D720B"/>
    <w:rsid w:val="759A531B"/>
    <w:rsid w:val="760925C2"/>
    <w:rsid w:val="765C4CB7"/>
    <w:rsid w:val="76D353AD"/>
    <w:rsid w:val="77473CB7"/>
    <w:rsid w:val="776E3379"/>
    <w:rsid w:val="77A17DA1"/>
    <w:rsid w:val="77AE49C7"/>
    <w:rsid w:val="78D30A71"/>
    <w:rsid w:val="791027EA"/>
    <w:rsid w:val="79C91E96"/>
    <w:rsid w:val="7A8258D7"/>
    <w:rsid w:val="7B2208CE"/>
    <w:rsid w:val="7C86434D"/>
    <w:rsid w:val="7DED13EA"/>
    <w:rsid w:val="7E120A37"/>
    <w:rsid w:val="7EF66C2C"/>
    <w:rsid w:val="7F853A51"/>
    <w:rsid w:val="7FC5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pPr>
      <w:suppressAutoHyphens/>
      <w:spacing w:after="140" w:line="276" w:lineRule="auto"/>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uiPriority w:val="0"/>
    <w:rPr>
      <w:color w:val="0000FF"/>
      <w:u w:val="single"/>
    </w:rPr>
  </w:style>
  <w:style w:type="character" w:customStyle="1" w:styleId="11">
    <w:name w:val="正文文本 Char"/>
    <w:basedOn w:val="7"/>
    <w:link w:val="2"/>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4075</Words>
  <Characters>4601</Characters>
  <Lines>33</Lines>
  <Paragraphs>9</Paragraphs>
  <TotalTime>5</TotalTime>
  <ScaleCrop>false</ScaleCrop>
  <LinksUpToDate>false</LinksUpToDate>
  <CharactersWithSpaces>4612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2023-02-15T02:15:00Z</dcterms:created>
  <dc:creator>黄柳淋</dc:creator>
  <cp:lastModifiedBy>ちひろ</cp:lastModifiedBy>
  <dcterms:modified xsi:type="dcterms:W3CDTF">2023-06-21T03:32:11Z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ABF5FCBEE417404E9A4A340609044202</vt:lpwstr>
  </property>
</Properties>
</file>