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仿宋_GB2312" w:cs="Times New Roman"/>
          <w:b/>
          <w:bCs/>
          <w:color w:val="000000"/>
          <w:sz w:val="32"/>
          <w:szCs w:val="32"/>
        </w:rPr>
      </w:pPr>
      <w:bookmarkStart w:id="0" w:name="_GoBack"/>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506柳州市鱼峰区人民政府荣军街道办事处</w:t>
      </w: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2023年部门预算公开说明</w:t>
      </w:r>
    </w:p>
    <w:p>
      <w:pPr>
        <w:spacing w:line="540" w:lineRule="exact"/>
        <w:rPr>
          <w:rFonts w:hint="default" w:ascii="Times New Roman" w:hAnsi="Times New Roman" w:eastAsia="方正小标宋简体" w:cs="Times New Roman"/>
          <w:sz w:val="44"/>
          <w:szCs w:val="44"/>
        </w:rPr>
      </w:pPr>
    </w:p>
    <w:p>
      <w:pPr>
        <w:spacing w:line="540" w:lineRule="exact"/>
        <w:rPr>
          <w:rFonts w:hint="default" w:ascii="Times New Roman" w:hAnsi="Times New Roman" w:eastAsia="方正小标宋简体" w:cs="Times New Roman"/>
          <w:sz w:val="44"/>
          <w:szCs w:val="44"/>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目 录</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第一部分：柳州市鱼峰区人民政府荣军街道办事处概况</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第二部分：柳州市鱼峰区人民政府荣军街道办事处2023年部门预算情况说明</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第三部分：柳州市鱼峰区人民政府荣军街道办事处2023年部门预算报表</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9"/>
          <w:rFonts w:hint="default" w:ascii="Times New Roman" w:hAnsi="Times New Roman" w:eastAsia="仿宋_GB2312" w:cs="Times New Roman"/>
          <w:color w:val="000000"/>
          <w:sz w:val="32"/>
          <w:szCs w:val="32"/>
          <w:highlight w:val="yellow"/>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第一部分：</w:t>
      </w:r>
      <w:r>
        <w:rPr>
          <w:rFonts w:hint="default" w:ascii="Times New Roman" w:hAnsi="Times New Roman" w:eastAsia="黑体" w:cs="Times New Roman"/>
          <w:color w:val="000000"/>
          <w:sz w:val="32"/>
          <w:szCs w:val="32"/>
        </w:rPr>
        <w:t>柳州市鱼峰区人民政府荣军街道办事处</w:t>
      </w:r>
      <w:r>
        <w:rPr>
          <w:rFonts w:hint="default" w:ascii="Times New Roman" w:hAnsi="Times New Roman" w:eastAsia="黑体" w:cs="Times New Roman"/>
          <w:color w:val="000000"/>
          <w:kern w:val="0"/>
          <w:sz w:val="32"/>
          <w:szCs w:val="32"/>
        </w:rPr>
        <w:t>概况</w:t>
      </w:r>
    </w:p>
    <w:p>
      <w:pPr>
        <w:pStyle w:val="6"/>
        <w:spacing w:before="0" w:beforeAutospacing="0" w:after="0" w:afterAutospacing="0" w:line="54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一、主要职责</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w:t>
      </w:r>
      <w:r>
        <w:rPr>
          <w:rFonts w:hint="default" w:ascii="Times New Roman" w:hAnsi="Times New Roman" w:eastAsia="仿宋_GB2312" w:cs="Times New Roman"/>
          <w:sz w:val="32"/>
          <w:szCs w:val="32"/>
        </w:rPr>
        <w:t>执行党和国家的各项方针、政策、法令、法规，在区委、区政府领导下完成各项任务。</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w:t>
      </w:r>
      <w:r>
        <w:rPr>
          <w:rFonts w:hint="default" w:ascii="Times New Roman" w:hAnsi="Times New Roman" w:eastAsia="仿宋_GB2312" w:cs="Times New Roman"/>
          <w:sz w:val="32"/>
          <w:szCs w:val="32"/>
        </w:rPr>
        <w:t>建设社会主义物质文明和精神文明，以经济建设为中心，发展街道工业，以及与居民密切相关的第三产业，指导街道经济组织发展经济，拓宽经济活动的领域，为经济组织提供服务，运用经济、法律和必要的行政手段管理街道经济。把街道建设成为经济繁荣、文化发达、道德高尚、社会安定、生活方便、环境优美的社会主义新城区</w:t>
      </w:r>
      <w:r>
        <w:rPr>
          <w:rFonts w:hint="default" w:ascii="Times New Roman" w:hAnsi="Times New Roman" w:eastAsia="仿宋_GB2312" w:cs="Times New Roman"/>
          <w:bCs/>
          <w:color w:val="000000"/>
          <w:sz w:val="32"/>
          <w:szCs w:val="32"/>
        </w:rPr>
        <w:t>。</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（三）</w:t>
      </w:r>
      <w:r>
        <w:rPr>
          <w:rFonts w:hint="default" w:ascii="Times New Roman" w:hAnsi="Times New Roman" w:eastAsia="仿宋_GB2312" w:cs="Times New Roman"/>
          <w:sz w:val="32"/>
          <w:szCs w:val="32"/>
        </w:rPr>
        <w:t>负责辖区内的社会治安综合治理，人民调解、法律服务工作，依照有关规定管理外来流动人员</w:t>
      </w:r>
      <w:r>
        <w:rPr>
          <w:rFonts w:hint="default" w:ascii="Times New Roman" w:hAnsi="Times New Roman" w:eastAsia="仿宋_GB2312" w:cs="Times New Roman"/>
          <w:bCs/>
          <w:color w:val="000000"/>
          <w:sz w:val="32"/>
          <w:szCs w:val="32"/>
        </w:rPr>
        <w:t>。</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（四）</w:t>
      </w:r>
      <w:r>
        <w:rPr>
          <w:rFonts w:hint="default" w:ascii="Times New Roman" w:hAnsi="Times New Roman" w:eastAsia="仿宋_GB2312" w:cs="Times New Roman"/>
          <w:sz w:val="32"/>
          <w:szCs w:val="32"/>
        </w:rPr>
        <w:t>开展社区服务、拥军优属工作，负责社区优抚、社会救济工作、社区文化、科普、体育、教育等工作。</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（五）</w:t>
      </w:r>
      <w:r>
        <w:rPr>
          <w:rFonts w:hint="default" w:ascii="Times New Roman" w:hAnsi="Times New Roman" w:eastAsia="仿宋_GB2312" w:cs="Times New Roman"/>
          <w:sz w:val="32"/>
          <w:szCs w:val="32"/>
        </w:rPr>
        <w:t xml:space="preserve">按照职责范围做好城市建设管理、计划生育、爱国卫生、市容环境卫生、绿化、环境保护、劳动就业、安全生产等管理工作。 </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（六）</w:t>
      </w:r>
      <w:r>
        <w:rPr>
          <w:rFonts w:hint="default" w:ascii="Times New Roman" w:hAnsi="Times New Roman" w:eastAsia="仿宋_GB2312" w:cs="Times New Roman"/>
          <w:sz w:val="32"/>
          <w:szCs w:val="32"/>
        </w:rPr>
        <w:t>配合有关部门做好防汛、防风、防火、防震、抢险和防灾救灾工作。</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（七）</w:t>
      </w:r>
      <w:r>
        <w:rPr>
          <w:rFonts w:hint="default" w:ascii="Times New Roman" w:hAnsi="Times New Roman" w:eastAsia="仿宋_GB2312" w:cs="Times New Roman"/>
          <w:sz w:val="32"/>
          <w:szCs w:val="32"/>
        </w:rPr>
        <w:t>维护老年人、妇女、青少年、儿童和残疾人的合法权益，尊重少数民族的风俗习惯和保障少数民族的权益。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kern w:val="0"/>
          <w:sz w:val="32"/>
          <w:szCs w:val="32"/>
        </w:rPr>
        <w:t>（八）</w:t>
      </w:r>
      <w:r>
        <w:rPr>
          <w:rFonts w:hint="default" w:ascii="Times New Roman" w:hAnsi="Times New Roman" w:eastAsia="仿宋_GB2312" w:cs="Times New Roman"/>
          <w:sz w:val="32"/>
          <w:szCs w:val="32"/>
        </w:rPr>
        <w:t>指导和帮助居民委员会的工作，促进居民委员会的依法建设和发挥“三自”（自我教育、自我管理、自我服务）作用。</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（九）</w:t>
      </w:r>
      <w:r>
        <w:rPr>
          <w:rFonts w:hint="default" w:ascii="Times New Roman" w:hAnsi="Times New Roman" w:eastAsia="仿宋_GB2312" w:cs="Times New Roman"/>
          <w:sz w:val="32"/>
          <w:szCs w:val="32"/>
        </w:rPr>
        <w:t>向市、区人民政府反映居民群众的意见和要求，办理人民群众的来信来访等事项。</w:t>
      </w:r>
    </w:p>
    <w:p>
      <w:pPr>
        <w:pStyle w:val="6"/>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（十）</w:t>
      </w:r>
      <w:r>
        <w:rPr>
          <w:rFonts w:hint="default" w:ascii="Times New Roman" w:hAnsi="Times New Roman" w:eastAsia="仿宋_GB2312" w:cs="Times New Roman"/>
          <w:sz w:val="32"/>
          <w:szCs w:val="32"/>
        </w:rPr>
        <w:t>承办区政府交办的其他事项。</w:t>
      </w:r>
    </w:p>
    <w:p>
      <w:pPr>
        <w:pStyle w:val="6"/>
        <w:spacing w:before="0" w:beforeAutospacing="0" w:after="0" w:afterAutospacing="0" w:line="54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二、机构设置情况</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柳州市鱼峰区人民政府荣军街道办事处属于行政单位，下属三个事业单位为</w:t>
      </w:r>
      <w:r>
        <w:rPr>
          <w:rFonts w:hint="default" w:ascii="Times New Roman" w:hAnsi="Times New Roman" w:eastAsia="仿宋_GB2312" w:cs="Times New Roman"/>
          <w:kern w:val="0"/>
          <w:sz w:val="32"/>
          <w:szCs w:val="32"/>
        </w:rPr>
        <w:t>柳州市鱼峰区荣军街道公共就业服务保障事务所、柳州市鱼峰区荣军街道办事处综合事务管理服务中心</w:t>
      </w:r>
      <w:r>
        <w:rPr>
          <w:rFonts w:hint="default" w:ascii="Times New Roman" w:hAnsi="Times New Roman" w:eastAsia="仿宋_GB2312" w:cs="Times New Roman"/>
          <w:color w:val="111111"/>
          <w:kern w:val="0"/>
          <w:sz w:val="32"/>
          <w:szCs w:val="32"/>
          <w:shd w:val="clear" w:color="auto" w:fill="FFFFFF"/>
          <w:lang w:bidi="ar"/>
        </w:rPr>
        <w:t>和柳州市鱼峰区荣军街道退役军人服务站</w:t>
      </w:r>
      <w:r>
        <w:rPr>
          <w:rFonts w:hint="default" w:ascii="Times New Roman" w:hAnsi="Times New Roman" w:eastAsia="仿宋_GB2312" w:cs="Times New Roman"/>
          <w:color w:val="000000"/>
          <w:sz w:val="32"/>
          <w:szCs w:val="32"/>
        </w:rPr>
        <w:t>。</w:t>
      </w:r>
    </w:p>
    <w:p>
      <w:pPr>
        <w:spacing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kern w:val="0"/>
          <w:sz w:val="32"/>
          <w:szCs w:val="32"/>
        </w:rPr>
        <w:t>机关</w:t>
      </w:r>
      <w:r>
        <w:rPr>
          <w:rFonts w:hint="default" w:ascii="Times New Roman" w:hAnsi="Times New Roman" w:eastAsia="仿宋_GB2312" w:cs="Times New Roman"/>
          <w:bCs/>
          <w:color w:val="000000"/>
          <w:sz w:val="32"/>
          <w:szCs w:val="32"/>
        </w:rPr>
        <w:t>内设五个办公室，分别为：</w:t>
      </w:r>
      <w:r>
        <w:rPr>
          <w:rFonts w:hint="default" w:ascii="Times New Roman" w:hAnsi="Times New Roman" w:eastAsia="仿宋_GB2312" w:cs="Times New Roman"/>
          <w:spacing w:val="6"/>
          <w:sz w:val="32"/>
          <w:szCs w:val="32"/>
        </w:rPr>
        <w:t>党政综合办公室、基层党建办公室、公共管理办公室、公共服务办公室、公共安全办公室</w:t>
      </w:r>
      <w:r>
        <w:rPr>
          <w:rFonts w:hint="default" w:ascii="Times New Roman" w:hAnsi="Times New Roman" w:eastAsia="仿宋_GB2312" w:cs="Times New Roman"/>
          <w:bCs/>
          <w:color w:val="000000"/>
          <w:sz w:val="32"/>
          <w:szCs w:val="32"/>
        </w:rPr>
        <w:t>。</w:t>
      </w: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第二部分：</w:t>
      </w:r>
      <w:r>
        <w:rPr>
          <w:rFonts w:hint="default" w:ascii="Times New Roman" w:hAnsi="Times New Roman" w:eastAsia="黑体" w:cs="Times New Roman"/>
          <w:color w:val="000000"/>
          <w:sz w:val="32"/>
          <w:szCs w:val="32"/>
        </w:rPr>
        <w:t>柳州市鱼峰区人民政府荣军街道办事处</w:t>
      </w:r>
      <w:r>
        <w:rPr>
          <w:rFonts w:hint="default" w:ascii="Times New Roman" w:hAnsi="Times New Roman" w:eastAsia="黑体" w:cs="Times New Roman"/>
          <w:color w:val="000000"/>
          <w:kern w:val="0"/>
          <w:sz w:val="32"/>
          <w:szCs w:val="32"/>
        </w:rPr>
        <w:t>2023年部门预算情况说明</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一、部门收支预算情况说明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trike/>
          <w:kern w:val="2"/>
          <w:sz w:val="32"/>
          <w:szCs w:val="32"/>
        </w:rPr>
      </w:pPr>
      <w:r>
        <w:rPr>
          <w:rFonts w:hint="default" w:ascii="Times New Roman" w:hAnsi="Times New Roman" w:eastAsia="仿宋_GB2312" w:cs="Times New Roman"/>
          <w:kern w:val="2"/>
          <w:sz w:val="32"/>
          <w:szCs w:val="32"/>
        </w:rPr>
        <w:t>2023年部门收支总预算620.75万元，同比增加28.34万元，同比增长4.78%，收入包括：收入来源一般公共预算拨款620.75万元；支出包括：一般公共服务支出344.61万元，科学技术支出2.24万元，社会保障和就业支出174.69万元，卫生健康支出32.16万元，农林水支出33.39万元，住房保障支出33.66万元。</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二、部门收入预算情况说明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2023年部门收入总预算620.75万元，</w:t>
      </w:r>
      <w:r>
        <w:rPr>
          <w:rFonts w:hint="default" w:ascii="Times New Roman" w:hAnsi="Times New Roman" w:eastAsia="仿宋_GB2312" w:cs="Times New Roman"/>
          <w:sz w:val="32"/>
          <w:szCs w:val="32"/>
        </w:rPr>
        <w:t>同比增加28.34万元，同比增长4.78%。其中：</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一般公共预算拨款620.75万元，</w:t>
      </w:r>
      <w:r>
        <w:rPr>
          <w:rFonts w:hint="default" w:ascii="Times New Roman" w:hAnsi="Times New Roman" w:eastAsia="仿宋_GB2312" w:cs="Times New Roman"/>
          <w:sz w:val="32"/>
          <w:szCs w:val="32"/>
        </w:rPr>
        <w:t>同比增加28.34万元，同比增长4.78%。</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2023年收入预算总体增加主要是</w:t>
      </w:r>
      <w:r>
        <w:rPr>
          <w:rFonts w:hint="default" w:ascii="Times New Roman" w:hAnsi="Times New Roman" w:eastAsia="仿宋_GB2312" w:cs="Times New Roman"/>
          <w:color w:val="000000"/>
          <w:sz w:val="32"/>
          <w:szCs w:val="32"/>
        </w:rPr>
        <w:t>一般公共预算拨款</w:t>
      </w:r>
      <w:r>
        <w:rPr>
          <w:rFonts w:hint="default" w:ascii="Times New Roman" w:hAnsi="Times New Roman" w:eastAsia="仿宋_GB2312" w:cs="Times New Roman"/>
          <w:sz w:val="32"/>
          <w:szCs w:val="32"/>
        </w:rPr>
        <w:t>增加，增加的主要原因：一是人员经费增加。</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三、部门支出预算情况说明</w:t>
      </w:r>
    </w:p>
    <w:p>
      <w:pPr>
        <w:spacing w:line="540" w:lineRule="exact"/>
        <w:ind w:firstLine="640" w:firstLineChars="200"/>
        <w:rPr>
          <w:rFonts w:hint="default" w:ascii="Times New Roman" w:hAnsi="Times New Roman" w:eastAsia="仿宋_GB2312" w:cs="Times New Roman"/>
          <w:strike/>
          <w:sz w:val="32"/>
          <w:szCs w:val="32"/>
        </w:rPr>
      </w:pPr>
      <w:r>
        <w:rPr>
          <w:rFonts w:hint="default" w:ascii="Times New Roman" w:hAnsi="Times New Roman" w:eastAsia="仿宋_GB2312" w:cs="Times New Roman"/>
          <w:color w:val="000000"/>
          <w:sz w:val="32"/>
          <w:szCs w:val="32"/>
        </w:rPr>
        <w:t>2023年部门支出总预算620.75万元，基本支出预算479.98万元，占支出总预算的77.32%，</w:t>
      </w:r>
      <w:r>
        <w:rPr>
          <w:rFonts w:hint="default" w:ascii="Times New Roman" w:hAnsi="Times New Roman" w:eastAsia="仿宋_GB2312" w:cs="Times New Roman"/>
          <w:sz w:val="32"/>
          <w:szCs w:val="32"/>
        </w:rPr>
        <w:t>同比增加100.43万元，同比增长26.46%。项目支出预算140.77万元，占支出总预算的22.68%，同比减少72.08万元，同比下降33.87%。</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（一）按支出功能分类科目划分，共分为</w:t>
      </w:r>
      <w:r>
        <w:rPr>
          <w:rFonts w:hint="default" w:ascii="Times New Roman" w:hAnsi="Times New Roman" w:eastAsia="仿宋_GB2312" w:cs="Times New Roman"/>
          <w:bCs/>
          <w:sz w:val="32"/>
          <w:szCs w:val="32"/>
        </w:rPr>
        <w:t>六</w:t>
      </w:r>
      <w:r>
        <w:rPr>
          <w:rFonts w:hint="default" w:ascii="Times New Roman" w:hAnsi="Times New Roman" w:eastAsia="仿宋_GB2312" w:cs="Times New Roman"/>
          <w:kern w:val="2"/>
          <w:sz w:val="32"/>
          <w:szCs w:val="32"/>
        </w:rPr>
        <w:t>类，其中：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1.一般公共服务支出344.61万元；占支出总预算55.51%，同比增加102.77万元，同比增长42.49%。</w:t>
      </w:r>
      <w:r>
        <w:rPr>
          <w:rFonts w:hint="default" w:ascii="Times New Roman" w:hAnsi="Times New Roman" w:eastAsia="仿宋_GB2312" w:cs="Times New Roman"/>
          <w:sz w:val="32"/>
          <w:szCs w:val="32"/>
        </w:rPr>
        <w:t>增加的主要原因：一是工资</w:t>
      </w:r>
      <w:r>
        <w:rPr>
          <w:rFonts w:hint="default" w:ascii="Times New Roman" w:hAnsi="Times New Roman" w:eastAsia="仿宋_GB2312" w:cs="Times New Roman"/>
          <w:sz w:val="32"/>
          <w:szCs w:val="32"/>
        </w:rPr>
        <w:t>调整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rPr>
        <w:t>社保基数调整</w:t>
      </w:r>
      <w:r>
        <w:rPr>
          <w:rFonts w:hint="default" w:ascii="Times New Roman" w:hAnsi="Times New Roman" w:eastAsia="仿宋_GB2312" w:cs="Times New Roman"/>
          <w:sz w:val="32"/>
          <w:szCs w:val="32"/>
        </w:rPr>
        <w:t>，在编</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rPr>
        <w:t>养老保险等有变化</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2.科学技术支出2.24万元，占支出总预算0.36%，同比增加2.24万元。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kern w:val="2"/>
          <w:sz w:val="32"/>
          <w:szCs w:val="32"/>
        </w:rPr>
        <w:t>的主要原因是：支出功能分类科目</w:t>
      </w:r>
      <w:r>
        <w:rPr>
          <w:rFonts w:hint="default" w:ascii="Times New Roman" w:hAnsi="Times New Roman" w:eastAsia="仿宋_GB2312" w:cs="Times New Roman"/>
          <w:kern w:val="2"/>
          <w:sz w:val="32"/>
          <w:szCs w:val="32"/>
          <w:lang w:eastAsia="zh-CN"/>
        </w:rPr>
        <w:t>调整。</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3社会保障和就业支出174.69万元，占支出总预算28.14%，同比减少126.7万元，同比下降42.04%。</w:t>
      </w:r>
      <w:r>
        <w:rPr>
          <w:rFonts w:hint="default" w:ascii="Times New Roman" w:hAnsi="Times New Roman" w:eastAsia="仿宋_GB2312" w:cs="Times New Roman"/>
          <w:sz w:val="32"/>
          <w:szCs w:val="32"/>
        </w:rPr>
        <w:t>减少的主要原因： 2023年减少了纪检工作</w:t>
      </w:r>
      <w:r>
        <w:rPr>
          <w:rFonts w:hint="default" w:ascii="Times New Roman" w:hAnsi="Times New Roman" w:eastAsia="仿宋_GB2312" w:cs="Times New Roman"/>
          <w:sz w:val="32"/>
          <w:szCs w:val="32"/>
        </w:rPr>
        <w:t>经费、</w:t>
      </w:r>
      <w:r>
        <w:rPr>
          <w:rFonts w:hint="default" w:ascii="Times New Roman" w:hAnsi="Times New Roman" w:eastAsia="仿宋_GB2312" w:cs="Times New Roman"/>
          <w:sz w:val="32"/>
          <w:szCs w:val="32"/>
        </w:rPr>
        <w:t>统战</w:t>
      </w:r>
      <w:r>
        <w:rPr>
          <w:rFonts w:hint="default" w:ascii="Times New Roman" w:hAnsi="Times New Roman" w:eastAsia="仿宋_GB2312" w:cs="Times New Roman"/>
          <w:sz w:val="32"/>
          <w:szCs w:val="32"/>
        </w:rPr>
        <w:t>经费、党建经费</w:t>
      </w:r>
      <w:r>
        <w:rPr>
          <w:rFonts w:hint="default" w:ascii="Times New Roman" w:hAnsi="Times New Roman" w:eastAsia="仿宋_GB2312" w:cs="Times New Roman"/>
          <w:sz w:val="32"/>
          <w:szCs w:val="32"/>
        </w:rPr>
        <w:t>、创建国家安全社区工作经费、</w:t>
      </w:r>
      <w:r>
        <w:rPr>
          <w:rFonts w:hint="default" w:ascii="Times New Roman" w:hAnsi="Times New Roman" w:eastAsia="仿宋_GB2312" w:cs="Times New Roman"/>
          <w:sz w:val="32"/>
          <w:szCs w:val="32"/>
        </w:rPr>
        <w:t>搬家经费</w:t>
      </w:r>
      <w:r>
        <w:rPr>
          <w:rFonts w:hint="default" w:ascii="Times New Roman" w:hAnsi="Times New Roman" w:eastAsia="仿宋_GB2312" w:cs="Times New Roman"/>
          <w:sz w:val="32"/>
          <w:szCs w:val="32"/>
        </w:rPr>
        <w:t>等项目</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4.卫生健康支出32.16万元，占支出总预算5.18%，同比增加10.6万元，同比增长49.14%。</w:t>
      </w:r>
      <w:r>
        <w:rPr>
          <w:rFonts w:hint="default" w:ascii="Times New Roman" w:hAnsi="Times New Roman" w:eastAsia="仿宋_GB2312" w:cs="Times New Roman"/>
          <w:sz w:val="32"/>
          <w:szCs w:val="32"/>
        </w:rPr>
        <w:t>增加的主要原因：因社保</w:t>
      </w:r>
      <w:r>
        <w:rPr>
          <w:rFonts w:hint="default" w:ascii="Times New Roman" w:hAnsi="Times New Roman" w:eastAsia="仿宋_GB2312" w:cs="Times New Roman"/>
          <w:sz w:val="32"/>
          <w:szCs w:val="32"/>
        </w:rPr>
        <w:t>基数调整</w:t>
      </w:r>
      <w:r>
        <w:rPr>
          <w:rFonts w:hint="default" w:ascii="Times New Roman" w:hAnsi="Times New Roman" w:eastAsia="仿宋_GB2312" w:cs="Times New Roman"/>
          <w:sz w:val="32"/>
          <w:szCs w:val="32"/>
        </w:rPr>
        <w:t>，在编</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rPr>
        <w:t>医疗保险有变化</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5.农林水支出33.39万元，占支出总预算5.38%，同比增加30.39万元，同比增长1013.12%。</w:t>
      </w:r>
      <w:r>
        <w:rPr>
          <w:rFonts w:hint="default" w:ascii="Times New Roman" w:hAnsi="Times New Roman" w:eastAsia="仿宋_GB2312" w:cs="Times New Roman"/>
          <w:sz w:val="32"/>
          <w:szCs w:val="32"/>
        </w:rPr>
        <w:t>增加的主要原因：2022年</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rPr>
        <w:t>农林水</w:t>
      </w:r>
      <w:r>
        <w:rPr>
          <w:rFonts w:hint="default" w:ascii="Times New Roman" w:hAnsi="Times New Roman" w:eastAsia="仿宋_GB2312" w:cs="Times New Roman"/>
          <w:sz w:val="32"/>
          <w:szCs w:val="32"/>
        </w:rPr>
        <w:t>支出仅</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sz w:val="32"/>
          <w:szCs w:val="32"/>
        </w:rPr>
        <w:t>农村</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rPr>
        <w:t>经费，</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rPr>
        <w:t>农林水</w:t>
      </w:r>
      <w:r>
        <w:rPr>
          <w:rFonts w:hint="default" w:ascii="Times New Roman" w:hAnsi="Times New Roman" w:eastAsia="仿宋_GB2312" w:cs="Times New Roman"/>
          <w:sz w:val="32"/>
          <w:szCs w:val="32"/>
        </w:rPr>
        <w:t>支出包括农村工作经费，</w:t>
      </w:r>
      <w:r>
        <w:rPr>
          <w:rFonts w:hint="default" w:ascii="Times New Roman" w:hAnsi="Times New Roman" w:eastAsia="仿宋_GB2312" w:cs="Times New Roman"/>
          <w:sz w:val="32"/>
          <w:szCs w:val="32"/>
        </w:rPr>
        <w:t>村干工资及绩效和村级其他人员支出。</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kern w:val="2"/>
          <w:sz w:val="32"/>
          <w:szCs w:val="32"/>
        </w:rPr>
        <w:t>住房保障支出</w:t>
      </w:r>
      <w:r>
        <w:rPr>
          <w:rFonts w:hint="default" w:ascii="Times New Roman" w:hAnsi="Times New Roman" w:eastAsia="仿宋_GB2312" w:cs="Times New Roman"/>
          <w:bCs/>
          <w:sz w:val="32"/>
          <w:szCs w:val="32"/>
        </w:rPr>
        <w:t>33.66</w:t>
      </w:r>
      <w:r>
        <w:rPr>
          <w:rFonts w:hint="default" w:ascii="Times New Roman" w:hAnsi="Times New Roman" w:eastAsia="仿宋_GB2312" w:cs="Times New Roman"/>
          <w:kern w:val="2"/>
          <w:sz w:val="32"/>
          <w:szCs w:val="32"/>
        </w:rPr>
        <w:t>元，占支出总预算5.42%，同比增加9.04万元，同比增长36.72%。</w:t>
      </w:r>
      <w:r>
        <w:rPr>
          <w:rFonts w:hint="default" w:ascii="Times New Roman" w:hAnsi="Times New Roman" w:eastAsia="仿宋_GB2312" w:cs="Times New Roman"/>
          <w:sz w:val="32"/>
          <w:szCs w:val="32"/>
        </w:rPr>
        <w:t>增加的主要原因：因</w:t>
      </w:r>
      <w:r>
        <w:rPr>
          <w:rFonts w:hint="default" w:ascii="Times New Roman" w:hAnsi="Times New Roman" w:eastAsia="仿宋_GB2312" w:cs="Times New Roman"/>
          <w:sz w:val="32"/>
          <w:szCs w:val="32"/>
        </w:rPr>
        <w:t>基数调整</w:t>
      </w:r>
      <w:r>
        <w:rPr>
          <w:rFonts w:hint="default" w:ascii="Times New Roman" w:hAnsi="Times New Roman" w:eastAsia="仿宋_GB2312" w:cs="Times New Roman"/>
          <w:sz w:val="32"/>
          <w:szCs w:val="32"/>
        </w:rPr>
        <w:t>，在编</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rPr>
        <w:t>公积金有变化</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（二）按支出结构分类划分，分为基本支出预算和项目支出预算，其中：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1.基本支出预算479.98万元，占一般公共预算拨款支出预算77.32%，同比增加</w:t>
      </w:r>
      <w:r>
        <w:rPr>
          <w:rFonts w:hint="default" w:ascii="Times New Roman" w:hAnsi="Times New Roman" w:eastAsia="仿宋_GB2312" w:cs="Times New Roman"/>
          <w:sz w:val="32"/>
          <w:szCs w:val="32"/>
        </w:rPr>
        <w:t>100.43</w:t>
      </w:r>
      <w:r>
        <w:rPr>
          <w:rFonts w:hint="default" w:ascii="Times New Roman" w:hAnsi="Times New Roman" w:eastAsia="仿宋_GB2312" w:cs="Times New Roman"/>
          <w:kern w:val="2"/>
          <w:sz w:val="32"/>
          <w:szCs w:val="32"/>
        </w:rPr>
        <w:t>万元，同比增长26.46%。</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kern w:val="2"/>
          <w:sz w:val="32"/>
          <w:szCs w:val="32"/>
        </w:rPr>
        <w:t>的主要原因是：</w:t>
      </w:r>
      <w:r>
        <w:rPr>
          <w:rFonts w:hint="default" w:ascii="Times New Roman" w:hAnsi="Times New Roman" w:eastAsia="仿宋_GB2312" w:cs="Times New Roman"/>
          <w:kern w:val="2"/>
          <w:sz w:val="32"/>
          <w:szCs w:val="32"/>
          <w:lang w:eastAsia="zh-CN"/>
        </w:rPr>
        <w:t>人员及其工资福利正常变动相应影响</w:t>
      </w:r>
      <w:r>
        <w:rPr>
          <w:rFonts w:hint="default" w:ascii="Times New Roman" w:hAnsi="Times New Roman" w:eastAsia="仿宋_GB2312" w:cs="Times New Roman"/>
          <w:kern w:val="2"/>
          <w:sz w:val="32"/>
          <w:szCs w:val="32"/>
        </w:rPr>
        <w:t>基本支出</w:t>
      </w:r>
      <w:r>
        <w:rPr>
          <w:rFonts w:hint="default" w:ascii="Times New Roman" w:hAnsi="Times New Roman" w:eastAsia="仿宋_GB2312" w:cs="Times New Roman"/>
          <w:kern w:val="2"/>
          <w:sz w:val="32"/>
          <w:szCs w:val="32"/>
          <w:lang w:eastAsia="zh-CN"/>
        </w:rPr>
        <w:t>。</w:t>
      </w:r>
    </w:p>
    <w:p>
      <w:pPr>
        <w:pStyle w:val="6"/>
        <w:tabs>
          <w:tab w:val="center" w:pos="4475"/>
        </w:tabs>
        <w:spacing w:before="0" w:beforeAutospacing="0" w:after="0" w:afterAutospacing="0" w:line="540" w:lineRule="exact"/>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2.项目支出预算140.77万元；占支出总预算22.68%，同比</w:t>
      </w:r>
      <w:r>
        <w:rPr>
          <w:rFonts w:hint="default" w:ascii="Times New Roman" w:hAnsi="Times New Roman" w:eastAsia="仿宋_GB2312" w:cs="Times New Roman"/>
          <w:sz w:val="32"/>
          <w:szCs w:val="32"/>
        </w:rPr>
        <w:t>减少72.08</w:t>
      </w:r>
      <w:r>
        <w:rPr>
          <w:rFonts w:hint="default" w:ascii="Times New Roman" w:hAnsi="Times New Roman" w:eastAsia="仿宋_GB2312" w:cs="Times New Roman"/>
          <w:kern w:val="2"/>
          <w:sz w:val="32"/>
          <w:szCs w:val="32"/>
        </w:rPr>
        <w:t>万元，同比</w:t>
      </w:r>
      <w:r>
        <w:rPr>
          <w:rFonts w:hint="default" w:ascii="Times New Roman" w:hAnsi="Times New Roman" w:eastAsia="仿宋_GB2312" w:cs="Times New Roman"/>
          <w:kern w:val="2"/>
          <w:sz w:val="32"/>
          <w:szCs w:val="32"/>
          <w:lang w:eastAsia="zh-CN"/>
        </w:rPr>
        <w:t>下降</w:t>
      </w:r>
      <w:r>
        <w:rPr>
          <w:rFonts w:hint="default" w:ascii="Times New Roman" w:hAnsi="Times New Roman" w:eastAsia="仿宋_GB2312" w:cs="Times New Roman"/>
          <w:kern w:val="2"/>
          <w:sz w:val="32"/>
          <w:szCs w:val="32"/>
        </w:rPr>
        <w:t>33.87%。</w:t>
      </w:r>
      <w:r>
        <w:rPr>
          <w:rFonts w:hint="default" w:ascii="Times New Roman" w:hAnsi="Times New Roman" w:eastAsia="仿宋_GB2312" w:cs="Times New Roman"/>
          <w:kern w:val="2"/>
          <w:sz w:val="32"/>
          <w:szCs w:val="32"/>
          <w:lang w:eastAsia="zh-CN"/>
        </w:rPr>
        <w:t>减少的主要原因：压减项目经费。</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2023年支出预算总体增加主要是</w:t>
      </w:r>
      <w:r>
        <w:rPr>
          <w:rFonts w:hint="default" w:ascii="Times New Roman" w:hAnsi="Times New Roman" w:eastAsia="仿宋_GB2312" w:cs="Times New Roman"/>
          <w:kern w:val="2"/>
          <w:sz w:val="32"/>
          <w:szCs w:val="32"/>
        </w:rPr>
        <w:t>基本支出预算</w:t>
      </w:r>
      <w:r>
        <w:rPr>
          <w:rFonts w:hint="default" w:ascii="Times New Roman" w:hAnsi="Times New Roman" w:eastAsia="仿宋_GB2312" w:cs="Times New Roman"/>
          <w:sz w:val="32"/>
          <w:szCs w:val="32"/>
        </w:rPr>
        <w:t>增加，增加的主要原因：人员经费增加。</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四、财政拨款收支预算情况说明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trike/>
          <w:kern w:val="2"/>
          <w:sz w:val="32"/>
          <w:szCs w:val="32"/>
        </w:rPr>
      </w:pPr>
      <w:r>
        <w:rPr>
          <w:rFonts w:hint="default" w:ascii="Times New Roman" w:hAnsi="Times New Roman" w:eastAsia="仿宋_GB2312" w:cs="Times New Roman"/>
          <w:kern w:val="2"/>
          <w:sz w:val="32"/>
          <w:szCs w:val="32"/>
        </w:rPr>
        <w:t>2023年部门财政拨款收支总预算620.75万元，收入包括：收入来源一般公共预算拨款620.75万元；支出包括：一般公共服务支出344.61万元，科学技术支出2.24万元，社会保障和就业支出174.69万元，卫生健康支出32.16万元，农林水支出33.39万元，住房保障支出33.66万元。</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五、一般公共预算支出情况说明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2023年部门一般公共预算拨款支出620.75万元，其中：基本支出479.98万元，项目支出140.77万元，具体支出预算如下：</w:t>
      </w:r>
    </w:p>
    <w:p>
      <w:pPr>
        <w:pStyle w:val="6"/>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（一）2010301行政运行305.4万元，全部为基本支出。主要用于</w:t>
      </w:r>
      <w:r>
        <w:rPr>
          <w:rFonts w:hint="default" w:ascii="Times New Roman" w:hAnsi="Times New Roman" w:eastAsia="仿宋_GB2312" w:cs="Times New Roman"/>
          <w:sz w:val="32"/>
          <w:szCs w:val="32"/>
        </w:rPr>
        <w:t>在职人员工资发放。</w:t>
      </w:r>
    </w:p>
    <w:p>
      <w:pPr>
        <w:pStyle w:val="6"/>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（二）2010399其他政府办公厅（室）及相关机构事务支出33.6万元，全部为基本支出。主要用于</w:t>
      </w:r>
      <w:r>
        <w:rPr>
          <w:rFonts w:hint="default" w:ascii="Times New Roman" w:hAnsi="Times New Roman" w:eastAsia="仿宋_GB2312" w:cs="Times New Roman"/>
          <w:sz w:val="32"/>
          <w:szCs w:val="32"/>
        </w:rPr>
        <w:t>街道运行支出。</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（三）2012999其他群众团体事务支出5.61万元，全部为基本支出。主要用于</w:t>
      </w:r>
      <w:r>
        <w:rPr>
          <w:rFonts w:hint="default" w:ascii="Times New Roman" w:hAnsi="Times New Roman" w:eastAsia="仿宋_GB2312" w:cs="Times New Roman"/>
          <w:sz w:val="32"/>
          <w:szCs w:val="32"/>
        </w:rPr>
        <w:t>工会经费。</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（四）2069999其他科学技术支出2.24万元，全部为基本支出。主要用于</w:t>
      </w:r>
      <w:r>
        <w:rPr>
          <w:rFonts w:hint="default" w:ascii="Times New Roman" w:hAnsi="Times New Roman" w:eastAsia="仿宋_GB2312" w:cs="Times New Roman"/>
          <w:sz w:val="32"/>
          <w:szCs w:val="32"/>
        </w:rPr>
        <w:t>工青妇经费。</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（五）2080208基层政权建设和社区治理107.37万元，全部为项目支出。主要用于</w:t>
      </w:r>
      <w:r>
        <w:rPr>
          <w:rFonts w:hint="default" w:ascii="Times New Roman" w:hAnsi="Times New Roman" w:eastAsia="仿宋_GB2312" w:cs="Times New Roman"/>
          <w:sz w:val="32"/>
          <w:szCs w:val="32"/>
        </w:rPr>
        <w:t>本部门项目支出，包括社区办公及活动经费、新办公用房租金和新办公用房聘请保安。</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（六）2080505机关事业单位基本养老保险缴费支出44.88万元，全部为基本支出。主要用于</w:t>
      </w:r>
      <w:r>
        <w:rPr>
          <w:rFonts w:hint="default" w:ascii="Times New Roman" w:hAnsi="Times New Roman" w:eastAsia="仿宋_GB2312" w:cs="Times New Roman"/>
          <w:sz w:val="32"/>
          <w:szCs w:val="32"/>
        </w:rPr>
        <w:t>在职人员缴纳</w:t>
      </w:r>
      <w:r>
        <w:rPr>
          <w:rFonts w:hint="default" w:ascii="Times New Roman" w:hAnsi="Times New Roman" w:eastAsia="仿宋_GB2312" w:cs="Times New Roman"/>
          <w:kern w:val="2"/>
          <w:sz w:val="32"/>
          <w:szCs w:val="32"/>
        </w:rPr>
        <w:t>养老保险</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（七）2080506机关事业单位职业年金缴费支出22.44万元，全部为基本支出。主要用于</w:t>
      </w:r>
      <w:r>
        <w:rPr>
          <w:rFonts w:hint="default" w:ascii="Times New Roman" w:hAnsi="Times New Roman" w:eastAsia="仿宋_GB2312" w:cs="Times New Roman"/>
          <w:sz w:val="32"/>
          <w:szCs w:val="32"/>
        </w:rPr>
        <w:t>在职人员缴纳</w:t>
      </w:r>
      <w:r>
        <w:rPr>
          <w:rFonts w:hint="default" w:ascii="Times New Roman" w:hAnsi="Times New Roman" w:eastAsia="仿宋_GB2312" w:cs="Times New Roman"/>
          <w:kern w:val="2"/>
          <w:sz w:val="32"/>
          <w:szCs w:val="32"/>
        </w:rPr>
        <w:t>职业年金</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（八）2101101行政单位医疗22.64万元，全部为基本支出。主要用于</w:t>
      </w:r>
      <w:r>
        <w:rPr>
          <w:rFonts w:hint="default" w:ascii="Times New Roman" w:hAnsi="Times New Roman" w:eastAsia="仿宋_GB2312" w:cs="Times New Roman"/>
          <w:sz w:val="32"/>
          <w:szCs w:val="32"/>
        </w:rPr>
        <w:t>在职人员缴纳</w:t>
      </w:r>
      <w:r>
        <w:rPr>
          <w:rFonts w:hint="default" w:ascii="Times New Roman" w:hAnsi="Times New Roman" w:eastAsia="仿宋_GB2312" w:cs="Times New Roman"/>
          <w:kern w:val="2"/>
          <w:sz w:val="32"/>
          <w:szCs w:val="32"/>
        </w:rPr>
        <w:t>医疗保险</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（九）2101103公务员医疗补助9.51万元，全部为基本支出。主要用于</w:t>
      </w:r>
      <w:r>
        <w:rPr>
          <w:rFonts w:hint="default" w:ascii="Times New Roman" w:hAnsi="Times New Roman" w:eastAsia="仿宋_GB2312" w:cs="Times New Roman"/>
          <w:sz w:val="32"/>
          <w:szCs w:val="32"/>
        </w:rPr>
        <w:t>在职人员缴纳</w:t>
      </w:r>
      <w:r>
        <w:rPr>
          <w:rFonts w:hint="default" w:ascii="Times New Roman" w:hAnsi="Times New Roman" w:eastAsia="仿宋_GB2312" w:cs="Times New Roman"/>
          <w:kern w:val="2"/>
          <w:sz w:val="32"/>
          <w:szCs w:val="32"/>
        </w:rPr>
        <w:t>医疗保险</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（十）2130199其他农业农村支出33.39万元，全部为项目支出。主要用于</w:t>
      </w:r>
      <w:r>
        <w:rPr>
          <w:rFonts w:hint="default" w:ascii="Times New Roman" w:hAnsi="Times New Roman" w:eastAsia="仿宋_GB2312" w:cs="Times New Roman"/>
          <w:sz w:val="32"/>
          <w:szCs w:val="32"/>
        </w:rPr>
        <w:t>农村工作经费、村干工资及绩效及村级其他人员支出。</w:t>
      </w:r>
    </w:p>
    <w:p>
      <w:pPr>
        <w:pStyle w:val="6"/>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（六）2210201住房公积金33.66万元，全部为基本支出。主要用于</w:t>
      </w:r>
      <w:r>
        <w:rPr>
          <w:rFonts w:hint="default" w:ascii="Times New Roman" w:hAnsi="Times New Roman" w:eastAsia="仿宋_GB2312" w:cs="Times New Roman"/>
          <w:sz w:val="32"/>
          <w:szCs w:val="32"/>
        </w:rPr>
        <w:t>在职人员住房公积金单位部分。</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六、一般公共预算基本支出情况说明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2023年部门一般公共预算基本支出479.98万元，其中：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strike/>
          <w:sz w:val="32"/>
          <w:szCs w:val="32"/>
        </w:rPr>
      </w:pPr>
      <w:r>
        <w:rPr>
          <w:rFonts w:hint="default" w:ascii="Times New Roman" w:hAnsi="Times New Roman" w:eastAsia="仿宋_GB2312" w:cs="Times New Roman"/>
          <w:kern w:val="2"/>
          <w:sz w:val="32"/>
          <w:szCs w:val="32"/>
        </w:rPr>
        <w:t>（一）人员经费420.3万元，主要包括：</w:t>
      </w:r>
      <w:r>
        <w:rPr>
          <w:rFonts w:hint="default" w:ascii="Times New Roman" w:hAnsi="Times New Roman" w:eastAsia="仿宋_GB2312" w:cs="Times New Roman"/>
          <w:sz w:val="32"/>
          <w:szCs w:val="32"/>
        </w:rPr>
        <w:t>工资福利支出中的基本工资、津贴补贴、奖金、绩效工资、机关事业单位基本养老保险缴费、职业年金缴费、职工基本医疗保险缴费、公务员医疗补助缴费、其他社会保障缴费和住房公积金。商品和服务支出中的办公费、印刷费、水费、电费、邮电费、物业管理费、差旅费、维修（护）费、会议费、培训费、公务接待费、工会经费、其他交通费用和其他商品和服务支出。对个人和家庭的补助中的其他对个人和家庭的补助</w:t>
      </w:r>
      <w:r>
        <w:rPr>
          <w:rFonts w:hint="default"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（二）公用经费59.68万元，主要包括：</w:t>
      </w:r>
      <w:r>
        <w:rPr>
          <w:rFonts w:hint="default" w:ascii="Times New Roman" w:hAnsi="Times New Roman" w:eastAsia="仿宋_GB2312" w:cs="Times New Roman"/>
          <w:sz w:val="32"/>
          <w:szCs w:val="32"/>
        </w:rPr>
        <w:t>商品和服务支出中的办公费、印刷费、水费、电费、邮电费、物业管理费、差旅费、维修（护）费、会议费、培训费、公务接待费、工会经费、其他交通费用和其他商品和服务支出。</w:t>
      </w:r>
      <w:r>
        <w:rPr>
          <w:rFonts w:hint="default" w:ascii="Times New Roman" w:hAnsi="Times New Roman" w:eastAsia="仿宋_GB2312" w:cs="Times New Roman"/>
          <w:kern w:val="2"/>
          <w:sz w:val="32"/>
          <w:szCs w:val="32"/>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七、一般公共预算“三公”经费情况说明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2023年部门一般公共预算安排的“三公”经费支出预算1.12万元，比2022年预算1.24万元，同比减少0.12万元，同比下降9.68%。其中：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（一）</w:t>
      </w:r>
      <w:r>
        <w:rPr>
          <w:rFonts w:hint="default" w:ascii="Times New Roman" w:hAnsi="Times New Roman" w:eastAsia="仿宋_GB2312" w:cs="Times New Roman"/>
          <w:bCs/>
          <w:color w:val="000000"/>
          <w:sz w:val="32"/>
          <w:szCs w:val="32"/>
        </w:rPr>
        <w:t>因公出国（境）经费2023年预算0万元，</w:t>
      </w:r>
      <w:r>
        <w:rPr>
          <w:rFonts w:hint="default" w:ascii="Times New Roman" w:hAnsi="Times New Roman" w:eastAsia="仿宋_GB2312" w:cs="Times New Roman"/>
          <w:sz w:val="32"/>
          <w:szCs w:val="32"/>
        </w:rPr>
        <w:t>与上年持平。</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w:t>
      </w:r>
      <w:r>
        <w:rPr>
          <w:rFonts w:hint="default" w:ascii="Times New Roman" w:hAnsi="Times New Roman" w:eastAsia="仿宋_GB2312" w:cs="Times New Roman"/>
          <w:bCs/>
          <w:color w:val="000000"/>
          <w:sz w:val="32"/>
          <w:szCs w:val="32"/>
        </w:rPr>
        <w:t>公务接待费2023年预算1.12万元，同比减少0.12万元，下降9.68%，减少的主要原因：行政运行经费减少。</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bCs/>
          <w:color w:val="000000"/>
          <w:sz w:val="32"/>
          <w:szCs w:val="32"/>
        </w:rPr>
        <w:t>公务用车购置及运行维护费2023年预算0万元，</w:t>
      </w:r>
      <w:r>
        <w:rPr>
          <w:rFonts w:hint="default" w:ascii="Times New Roman" w:hAnsi="Times New Roman" w:eastAsia="仿宋_GB2312" w:cs="Times New Roman"/>
          <w:sz w:val="32"/>
          <w:szCs w:val="32"/>
        </w:rPr>
        <w:t>与上年持平。</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1.公务用车购置费2023年预算0万元，</w:t>
      </w:r>
      <w:r>
        <w:rPr>
          <w:rFonts w:hint="default" w:ascii="Times New Roman" w:hAnsi="Times New Roman" w:eastAsia="仿宋_GB2312" w:cs="Times New Roman"/>
          <w:sz w:val="32"/>
          <w:szCs w:val="32"/>
        </w:rPr>
        <w:t>与上年持平。</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2.公务用车运行维护费2023年预算0万元，</w:t>
      </w:r>
      <w:r>
        <w:rPr>
          <w:rFonts w:hint="default" w:ascii="Times New Roman" w:hAnsi="Times New Roman" w:eastAsia="仿宋_GB2312" w:cs="Times New Roman"/>
          <w:sz w:val="32"/>
          <w:szCs w:val="32"/>
        </w:rPr>
        <w:t>与上年持平。</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八、政府性基金预算情况说明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2023年我部门无政府性基金预算支出安排</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九、国有资本经营预算情况说明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2023年我部门无国有资本经营预算支出安排</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十、政府采购预算情况说明</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2023年政府采购预算3.44万元，同比减少35.07万元，下降91.07%。其中：政府集中采购预算3.44万元，占政府采购预算的100%，同比减少35.07万元，下降91.07%；分散采购预算0万元，</w:t>
      </w:r>
      <w:r>
        <w:rPr>
          <w:rFonts w:hint="default" w:ascii="Times New Roman" w:hAnsi="Times New Roman" w:eastAsia="仿宋_GB2312" w:cs="Times New Roman"/>
          <w:sz w:val="32"/>
          <w:szCs w:val="32"/>
        </w:rPr>
        <w:t>与上年持平</w:t>
      </w:r>
      <w:r>
        <w:rPr>
          <w:rFonts w:hint="default" w:ascii="Times New Roman" w:hAnsi="Times New Roman" w:eastAsia="仿宋_GB2312" w:cs="Times New Roman"/>
          <w:bCs/>
          <w:color w:val="000000"/>
          <w:kern w:val="0"/>
          <w:sz w:val="32"/>
          <w:szCs w:val="32"/>
        </w:rPr>
        <w:t>。</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按政府采购项目类型划分，其中：货物类采购预算2.6万元，工程类采购预算0万元，服务类采购预算0.84万元。</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按政府采购资金来源划分，其中：一般公共预算安排采购支出预算3.44万元。</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十一、政府购买服务预算情况说明</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2023年我部门无政府购买服务预算</w:t>
      </w:r>
    </w:p>
    <w:p>
      <w:pPr>
        <w:tabs>
          <w:tab w:val="center" w:pos="4475"/>
        </w:tabs>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黑体" w:cs="Times New Roman"/>
          <w:color w:val="000000"/>
          <w:kern w:val="0"/>
          <w:sz w:val="32"/>
          <w:szCs w:val="32"/>
        </w:rPr>
        <w:t>十二、重点项目支出绩效目标情况说明</w:t>
      </w:r>
    </w:p>
    <w:p>
      <w:pPr>
        <w:adjustRightInd w:val="0"/>
        <w:snapToGrid w:val="0"/>
        <w:spacing w:line="540" w:lineRule="exact"/>
        <w:ind w:right="-218" w:rightChars="-104"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2023年预算绩效目标公开的项目是社区办公及活动经费，预算支出52万元，通过一般公共预算安排支出52万元，项目支出绩效目标具体指标设置情况详见13。</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十三、2023年部门预算其他重要事项情况说明</w:t>
      </w:r>
    </w:p>
    <w:p>
      <w:pPr>
        <w:tabs>
          <w:tab w:val="center" w:pos="4475"/>
        </w:tabs>
        <w:spacing w:line="540" w:lineRule="exact"/>
        <w:ind w:firstLine="645"/>
        <w:rPr>
          <w:rFonts w:hint="default" w:ascii="Times New Roman" w:hAnsi="Times New Roman" w:eastAsia="仿宋_GB2312" w:cs="Times New Roman"/>
          <w:sz w:val="32"/>
          <w:szCs w:val="32"/>
          <w:highlight w:val="cyan"/>
        </w:rPr>
      </w:pPr>
      <w:r>
        <w:rPr>
          <w:rFonts w:hint="default" w:ascii="Times New Roman" w:hAnsi="Times New Roman" w:eastAsia="楷体_GB2312" w:cs="Times New Roman"/>
          <w:b/>
          <w:color w:val="000000"/>
          <w:sz w:val="32"/>
          <w:szCs w:val="32"/>
        </w:rPr>
        <w:t>（一）机关运行经费安排情况说明</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2023年行政运行预算59.68万元，同比减少2.19万元，同比下降3.54%，主要用于街道日常运转。行政运行经费减少的原因：人员减少。</w:t>
      </w:r>
    </w:p>
    <w:p>
      <w:pPr>
        <w:pStyle w:val="6"/>
        <w:spacing w:before="0" w:beforeAutospacing="0" w:after="0" w:afterAutospacing="0" w:line="540" w:lineRule="exact"/>
        <w:ind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（二）国有资产占用情况说明</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2023年我部门无国有资产占用相关情况</w:t>
      </w: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第三部分：</w:t>
      </w:r>
      <w:r>
        <w:rPr>
          <w:rFonts w:hint="default" w:ascii="Times New Roman" w:hAnsi="Times New Roman" w:eastAsia="黑体" w:cs="Times New Roman"/>
          <w:color w:val="000000"/>
          <w:sz w:val="32"/>
          <w:szCs w:val="32"/>
        </w:rPr>
        <w:t>柳州市鱼峰区人民政府荣军街道办事处</w:t>
      </w:r>
      <w:r>
        <w:rPr>
          <w:rFonts w:hint="default" w:ascii="Times New Roman" w:hAnsi="Times New Roman" w:eastAsia="黑体" w:cs="Times New Roman"/>
          <w:color w:val="000000"/>
          <w:kern w:val="0"/>
          <w:sz w:val="32"/>
          <w:szCs w:val="32"/>
        </w:rPr>
        <w:t>2023年部门预算报表</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一、部门收支总体情况表（表1）</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二、部门收入总体情况表（表2）</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三、部门支出总体情况表（表3）</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四、财政拨款收支总体情况表（表4）</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五、一般公共预算支出情况表（表5）</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六、一般公共预算基本支出情况表（表6）</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七、财政拨款三公两费支出情况表（表7）</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八、政府性基金预算支出情况表（表8）</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九、国有资本经营预算支出情况表（表9）</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十、政府采购预算表（表10）</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十一、政府购买服务预算表（表11）</w:t>
      </w:r>
    </w:p>
    <w:p>
      <w:pPr>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十二、柳州市鱼峰区人民政府荣军街道办事处2023年社区办公及活动经费项目支出绩效目标申报表</w:t>
      </w:r>
      <w:r>
        <w:rPr>
          <w:rFonts w:hint="default" w:ascii="Times New Roman" w:hAnsi="Times New Roman" w:eastAsia="仿宋_GB2312" w:cs="Times New Roman"/>
          <w:bCs/>
          <w:color w:val="000000"/>
          <w:sz w:val="32"/>
          <w:szCs w:val="32"/>
        </w:rPr>
        <w:t>（表1</w:t>
      </w: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p>
    <w:p>
      <w:pPr>
        <w:pStyle w:val="6"/>
        <w:spacing w:before="0" w:beforeAutospacing="0" w:after="0" w:afterAutospacing="0" w:line="54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hint="default" w:ascii="Times New Roman" w:hAnsi="Times New Roman" w:eastAsia="仿宋_GB2312" w:cs="Times New Roman"/>
          <w:b/>
          <w:bCs/>
          <w:color w:val="000000"/>
          <w:sz w:val="32"/>
          <w:szCs w:val="32"/>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第四部分：名词解释</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一、财政拨款收入</w:t>
      </w:r>
      <w:r>
        <w:rPr>
          <w:rFonts w:hint="default" w:ascii="Times New Roman" w:hAnsi="Times New Roman" w:eastAsia="仿宋_GB2312" w:cs="Times New Roman"/>
          <w:color w:val="auto"/>
          <w:kern w:val="0"/>
          <w:sz w:val="32"/>
          <w:szCs w:val="32"/>
          <w:highlight w:val="none"/>
        </w:rPr>
        <w:t>：指</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本级财政部门当年拨付的资金。</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二、事业收入</w:t>
      </w:r>
      <w:r>
        <w:rPr>
          <w:rFonts w:hint="default" w:ascii="Times New Roman" w:hAnsi="Times New Roman" w:eastAsia="仿宋_GB2312" w:cs="Times New Roman"/>
          <w:color w:val="auto"/>
          <w:kern w:val="0"/>
          <w:sz w:val="32"/>
          <w:szCs w:val="32"/>
          <w:highlight w:val="none"/>
        </w:rPr>
        <w:t>：指事业单位开展专业业务活动及辅助活动所取得的收入。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三、经营收入</w:t>
      </w:r>
      <w:r>
        <w:rPr>
          <w:rFonts w:hint="default" w:ascii="Times New Roman" w:hAnsi="Times New Roman" w:eastAsia="仿宋_GB2312" w:cs="Times New Roman"/>
          <w:color w:val="auto"/>
          <w:kern w:val="0"/>
          <w:sz w:val="32"/>
          <w:szCs w:val="32"/>
          <w:highlight w:val="none"/>
        </w:rPr>
        <w:t>：指事业单位在专业业务活动及其辅助活动之外开展非独立核算经营活动取得的收入。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四、其他收入</w:t>
      </w:r>
      <w:r>
        <w:rPr>
          <w:rFonts w:hint="default" w:ascii="Times New Roman" w:hAnsi="Times New Roman" w:eastAsia="仿宋_GB2312" w:cs="Times New Roman"/>
          <w:color w:val="auto"/>
          <w:kern w:val="0"/>
          <w:sz w:val="32"/>
          <w:szCs w:val="32"/>
          <w:highlight w:val="none"/>
        </w:rPr>
        <w:t>：指除上述“财政拨款收入”“事业收入”“经营收入”等以外的收入。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五、基本支出</w:t>
      </w:r>
      <w:r>
        <w:rPr>
          <w:rFonts w:hint="default" w:ascii="Times New Roman" w:hAnsi="Times New Roman" w:eastAsia="仿宋_GB2312" w:cs="Times New Roman"/>
          <w:color w:val="auto"/>
          <w:kern w:val="0"/>
          <w:sz w:val="32"/>
          <w:szCs w:val="32"/>
          <w:highlight w:val="none"/>
        </w:rPr>
        <w:t>：指为保障机构正常运转、完成日常工作任务而发生的人员支出和公用支出。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六、项目支出</w:t>
      </w:r>
      <w:r>
        <w:rPr>
          <w:rFonts w:hint="default" w:ascii="Times New Roman" w:hAnsi="Times New Roman" w:eastAsia="仿宋_GB2312" w:cs="Times New Roman"/>
          <w:color w:val="auto"/>
          <w:kern w:val="0"/>
          <w:sz w:val="32"/>
          <w:szCs w:val="32"/>
          <w:highlight w:val="none"/>
        </w:rPr>
        <w:t>：指在基本支出之外为完成特定行政任务和事业发展目标所发生的支出。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七、“三公”经费</w:t>
      </w:r>
      <w:r>
        <w:rPr>
          <w:rFonts w:hint="default" w:ascii="Times New Roman" w:hAnsi="Times New Roman" w:eastAsia="仿宋_GB2312" w:cs="Times New Roman"/>
          <w:color w:val="auto"/>
          <w:kern w:val="0"/>
          <w:sz w:val="32"/>
          <w:szCs w:val="32"/>
          <w:highlight w:val="none"/>
        </w:rPr>
        <w:t>：纳入</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财政预决算管理的“三公”经费，是指市</w:t>
      </w:r>
      <w:r>
        <w:rPr>
          <w:rFonts w:hint="default" w:ascii="Times New Roman" w:hAnsi="Times New Roman" w:eastAsia="仿宋_GB2312" w:cs="Times New Roman"/>
          <w:color w:val="auto"/>
          <w:sz w:val="32"/>
          <w:szCs w:val="32"/>
          <w:highlight w:val="none"/>
        </w:rPr>
        <w:t>本级各部门用财政拨款安排的因公出国（境）费、公务用车购置及运行维护费和公务接待费。</w:t>
      </w:r>
      <w:r>
        <w:rPr>
          <w:rFonts w:hint="default" w:ascii="Times New Roman" w:hAnsi="Times New Roman" w:eastAsia="仿宋_GB2312" w:cs="Times New Roman"/>
          <w:color w:val="auto"/>
          <w:kern w:val="0"/>
          <w:sz w:val="32"/>
          <w:szCs w:val="32"/>
          <w:highlight w:val="none"/>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八、机关运行经费</w:t>
      </w:r>
      <w:r>
        <w:rPr>
          <w:rFonts w:hint="default" w:ascii="Times New Roman" w:hAnsi="Times New Roman" w:eastAsia="仿宋_GB2312" w:cs="Times New Roman"/>
          <w:color w:val="auto"/>
          <w:kern w:val="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ind w:firstLine="420" w:firstLineChars="200"/>
        <w:rPr>
          <w:rFonts w:hint="default" w:ascii="Times New Roman" w:hAnsi="Times New Roman" w:cs="Times New Roman"/>
        </w:rPr>
      </w:pPr>
    </w:p>
    <w:bookmarkEnd w:id="0"/>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9FB5F4F"/>
    <w:rsid w:val="00024E32"/>
    <w:rsid w:val="00074388"/>
    <w:rsid w:val="00095D28"/>
    <w:rsid w:val="000F585E"/>
    <w:rsid w:val="00124D10"/>
    <w:rsid w:val="00154E99"/>
    <w:rsid w:val="001807A4"/>
    <w:rsid w:val="002139AA"/>
    <w:rsid w:val="004604D7"/>
    <w:rsid w:val="0047294A"/>
    <w:rsid w:val="004D7A6C"/>
    <w:rsid w:val="00555D5A"/>
    <w:rsid w:val="006654BE"/>
    <w:rsid w:val="006B4449"/>
    <w:rsid w:val="006B71F2"/>
    <w:rsid w:val="006C0654"/>
    <w:rsid w:val="006D1B0D"/>
    <w:rsid w:val="0082340F"/>
    <w:rsid w:val="0083587E"/>
    <w:rsid w:val="0086190E"/>
    <w:rsid w:val="0087368A"/>
    <w:rsid w:val="008A6847"/>
    <w:rsid w:val="008C2EB9"/>
    <w:rsid w:val="0096125A"/>
    <w:rsid w:val="009D05C0"/>
    <w:rsid w:val="00A34D97"/>
    <w:rsid w:val="00AE2ABB"/>
    <w:rsid w:val="00B2275B"/>
    <w:rsid w:val="00B22813"/>
    <w:rsid w:val="00B41B4C"/>
    <w:rsid w:val="00B54CC6"/>
    <w:rsid w:val="00B75EB0"/>
    <w:rsid w:val="00C0170C"/>
    <w:rsid w:val="00CE39D0"/>
    <w:rsid w:val="00CE72E9"/>
    <w:rsid w:val="00D13115"/>
    <w:rsid w:val="00E05E71"/>
    <w:rsid w:val="00E64F82"/>
    <w:rsid w:val="00EE4FA5"/>
    <w:rsid w:val="00F53A35"/>
    <w:rsid w:val="00FD1DDD"/>
    <w:rsid w:val="00FD750F"/>
    <w:rsid w:val="00FE1225"/>
    <w:rsid w:val="03806418"/>
    <w:rsid w:val="084040DD"/>
    <w:rsid w:val="08A067A5"/>
    <w:rsid w:val="08DB2AB4"/>
    <w:rsid w:val="0A1F05F1"/>
    <w:rsid w:val="0A5A42B9"/>
    <w:rsid w:val="0AD11260"/>
    <w:rsid w:val="0B3077EB"/>
    <w:rsid w:val="0B35346D"/>
    <w:rsid w:val="0C16757F"/>
    <w:rsid w:val="13A22351"/>
    <w:rsid w:val="13BB148B"/>
    <w:rsid w:val="17CF450B"/>
    <w:rsid w:val="1CA51770"/>
    <w:rsid w:val="1F26697D"/>
    <w:rsid w:val="21D359C6"/>
    <w:rsid w:val="229C66D0"/>
    <w:rsid w:val="25017EBB"/>
    <w:rsid w:val="27AD4BCF"/>
    <w:rsid w:val="2C5C1C4D"/>
    <w:rsid w:val="2C794232"/>
    <w:rsid w:val="2C925F5B"/>
    <w:rsid w:val="326902AC"/>
    <w:rsid w:val="392A1FB5"/>
    <w:rsid w:val="397714B2"/>
    <w:rsid w:val="39EB35E1"/>
    <w:rsid w:val="3A805F85"/>
    <w:rsid w:val="3B7217B7"/>
    <w:rsid w:val="3C3872CC"/>
    <w:rsid w:val="3DBB7E3C"/>
    <w:rsid w:val="3DCD18AC"/>
    <w:rsid w:val="42E83CB0"/>
    <w:rsid w:val="43BB078E"/>
    <w:rsid w:val="44463FF3"/>
    <w:rsid w:val="49FB5F4F"/>
    <w:rsid w:val="4B7C50F2"/>
    <w:rsid w:val="4D5B187D"/>
    <w:rsid w:val="4EFD2F6B"/>
    <w:rsid w:val="512F72F3"/>
    <w:rsid w:val="5154419C"/>
    <w:rsid w:val="5C415B39"/>
    <w:rsid w:val="5CF71D27"/>
    <w:rsid w:val="5D306F04"/>
    <w:rsid w:val="5DB40247"/>
    <w:rsid w:val="60695426"/>
    <w:rsid w:val="650D7B30"/>
    <w:rsid w:val="684C6ED2"/>
    <w:rsid w:val="6A6D39A5"/>
    <w:rsid w:val="6BB9153D"/>
    <w:rsid w:val="6CD17848"/>
    <w:rsid w:val="6ED56E08"/>
    <w:rsid w:val="6FC80B33"/>
    <w:rsid w:val="72B30A8F"/>
    <w:rsid w:val="741F5D8E"/>
    <w:rsid w:val="74E17B6E"/>
    <w:rsid w:val="7E61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rFonts w:ascii="Times New Roman" w:hAnsi="Times New Roman" w:eastAsia="仿宋_GB2312"/>
      <w:sz w:val="30"/>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725</Words>
  <Characters>4138</Characters>
  <Lines>34</Lines>
  <Paragraphs>9</Paragraphs>
  <TotalTime>0</TotalTime>
  <ScaleCrop>false</ScaleCrop>
  <LinksUpToDate>false</LinksUpToDate>
  <CharactersWithSpaces>4854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2022-01-25T04:13:00Z</dcterms:created>
  <dc:creator>黄柳淋</dc:creator>
  <cp:lastModifiedBy>lenovo</cp:lastModifiedBy>
  <dcterms:modified xsi:type="dcterms:W3CDTF">2023-03-22T03:55:00Z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5C717585EC194946A3231AEDB8703C28</vt:lpwstr>
  </property>
</Properties>
</file>