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eastAsia="仿宋_GB2312"/>
          <w:sz w:val="32"/>
          <w:szCs w:val="32"/>
        </w:rPr>
      </w:pPr>
      <w:r>
        <w:rPr>
          <w:rFonts w:eastAsia="仿宋_GB2312"/>
          <w:sz w:val="32"/>
          <w:szCs w:val="32"/>
        </w:rPr>
        <w:t>附件</w:t>
      </w:r>
      <w:r>
        <w:rPr>
          <w:rFonts w:hint="eastAsia" w:eastAsia="仿宋_GB2312"/>
          <w:sz w:val="32"/>
          <w:szCs w:val="32"/>
        </w:rPr>
        <w:t>2</w:t>
      </w:r>
    </w:p>
    <w:p>
      <w:pPr>
        <w:spacing w:line="540" w:lineRule="exact"/>
        <w:jc w:val="center"/>
        <w:rPr>
          <w:rFonts w:eastAsia="仿宋_GB2312"/>
          <w:b/>
          <w:bCs/>
          <w:color w:val="000000"/>
          <w:sz w:val="32"/>
          <w:szCs w:val="32"/>
        </w:rPr>
      </w:pPr>
    </w:p>
    <w:p>
      <w:pPr>
        <w:spacing w:line="540" w:lineRule="exact"/>
        <w:jc w:val="center"/>
        <w:rPr>
          <w:rFonts w:hint="eastAsia" w:eastAsia="方正小标宋简体"/>
          <w:sz w:val="44"/>
          <w:szCs w:val="44"/>
          <w:lang w:val="en-US" w:eastAsia="zh-CN"/>
        </w:rPr>
      </w:pPr>
      <w:r>
        <w:rPr>
          <w:rFonts w:hint="eastAsia" w:eastAsia="方正小标宋简体"/>
          <w:sz w:val="44"/>
          <w:szCs w:val="44"/>
          <w:lang w:val="en-US" w:eastAsia="zh-CN"/>
        </w:rPr>
        <w:t>360022柳州市第十三中学</w:t>
      </w:r>
    </w:p>
    <w:p>
      <w:pPr>
        <w:spacing w:line="540" w:lineRule="exact"/>
        <w:jc w:val="center"/>
        <w:rPr>
          <w:rFonts w:eastAsia="方正小标宋简体"/>
          <w:sz w:val="44"/>
          <w:szCs w:val="44"/>
        </w:rPr>
      </w:pPr>
      <w:r>
        <w:rPr>
          <w:rFonts w:eastAsia="方正小标宋简体"/>
          <w:sz w:val="44"/>
          <w:szCs w:val="44"/>
        </w:rPr>
        <w:t>2023年单位预算公开说明</w:t>
      </w:r>
    </w:p>
    <w:p>
      <w:pPr>
        <w:spacing w:line="540" w:lineRule="exact"/>
        <w:rPr>
          <w:rFonts w:eastAsia="方正小标宋简体"/>
          <w:sz w:val="44"/>
          <w:szCs w:val="44"/>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目 录</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lang w:eastAsia="zh-CN"/>
        </w:rPr>
        <w:t>柳州市第十三中学</w:t>
      </w:r>
      <w:r>
        <w:rPr>
          <w:rFonts w:ascii="Times New Roman" w:hAnsi="Times New Roman" w:eastAsia="仿宋_GB2312" w:cs="Times New Roman"/>
          <w:b/>
          <w:bCs/>
          <w:color w:val="000000"/>
          <w:sz w:val="32"/>
          <w:szCs w:val="32"/>
        </w:rPr>
        <w:t>概况</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第二部分：</w:t>
      </w:r>
      <w:r>
        <w:rPr>
          <w:rFonts w:hint="eastAsia" w:ascii="Times New Roman" w:hAnsi="Times New Roman" w:eastAsia="仿宋_GB2312" w:cs="Times New Roman"/>
          <w:b/>
          <w:bCs/>
          <w:color w:val="000000"/>
          <w:sz w:val="32"/>
          <w:szCs w:val="32"/>
          <w:lang w:eastAsia="zh-CN"/>
        </w:rPr>
        <w:t>柳州市第十三中学</w:t>
      </w:r>
      <w:r>
        <w:rPr>
          <w:rFonts w:ascii="Times New Roman" w:hAnsi="Times New Roman" w:eastAsia="仿宋_GB2312" w:cs="Times New Roman"/>
          <w:b/>
          <w:bCs/>
          <w:color w:val="000000"/>
          <w:sz w:val="32"/>
          <w:szCs w:val="32"/>
        </w:rPr>
        <w:t>2023年单位预算情况说明</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第三部分：</w:t>
      </w:r>
      <w:r>
        <w:rPr>
          <w:rFonts w:hint="eastAsia" w:ascii="Times New Roman" w:hAnsi="Times New Roman" w:eastAsia="仿宋_GB2312" w:cs="Times New Roman"/>
          <w:b/>
          <w:bCs/>
          <w:color w:val="000000"/>
          <w:sz w:val="32"/>
          <w:szCs w:val="32"/>
          <w:lang w:eastAsia="zh-CN"/>
        </w:rPr>
        <w:t>柳州市第十三中学</w:t>
      </w:r>
      <w:r>
        <w:rPr>
          <w:rFonts w:ascii="Times New Roman" w:hAnsi="Times New Roman" w:eastAsia="仿宋_GB2312" w:cs="Times New Roman"/>
          <w:b/>
          <w:bCs/>
          <w:color w:val="000000"/>
          <w:sz w:val="32"/>
          <w:szCs w:val="32"/>
        </w:rPr>
        <w:t>2023年单位预算报表</w:t>
      </w: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4"/>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7"/>
          <w:rFonts w:eastAsia="仿宋_GB2312"/>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第一部分：</w:t>
      </w:r>
      <w:r>
        <w:rPr>
          <w:rFonts w:hint="eastAsia" w:ascii="Times New Roman" w:hAnsi="Times New Roman" w:eastAsia="仿宋_GB2312" w:cs="Times New Roman"/>
          <w:b/>
          <w:bCs/>
          <w:color w:val="000000"/>
          <w:sz w:val="32"/>
          <w:szCs w:val="32"/>
          <w:lang w:eastAsia="zh-CN"/>
        </w:rPr>
        <w:t>柳州市第十三中学</w:t>
      </w:r>
      <w:r>
        <w:rPr>
          <w:rFonts w:eastAsia="黑体"/>
          <w:color w:val="000000"/>
          <w:kern w:val="0"/>
          <w:sz w:val="32"/>
          <w:szCs w:val="32"/>
        </w:rPr>
        <w:t>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一、主要职责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（一）实施初中义务教育，</w:t>
      </w:r>
      <w:r>
        <w:rPr>
          <w:rFonts w:hint="eastAsia" w:ascii="仿宋_GB2312" w:hAnsi="仿宋_GB2312" w:eastAsia="仿宋_GB2312" w:cs="仿宋_GB2312"/>
          <w:i w:val="0"/>
          <w:iCs w:val="0"/>
          <w:caps w:val="0"/>
          <w:color w:val="000000"/>
          <w:spacing w:val="0"/>
          <w:sz w:val="32"/>
          <w:szCs w:val="32"/>
          <w:lang w:val="en-US" w:eastAsia="zh-CN"/>
        </w:rPr>
        <w:t>研究拟定学校教育发展规划和年度计划，</w:t>
      </w:r>
      <w:r>
        <w:rPr>
          <w:rFonts w:hint="eastAsia" w:ascii="仿宋_GB2312" w:hAnsi="仿宋_GB2312" w:eastAsia="仿宋_GB2312" w:cs="仿宋_GB2312"/>
          <w:i w:val="0"/>
          <w:iCs w:val="0"/>
          <w:caps w:val="0"/>
          <w:color w:val="000000"/>
          <w:spacing w:val="0"/>
          <w:sz w:val="32"/>
          <w:szCs w:val="32"/>
        </w:rPr>
        <w:t>促进基础教育发展。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（二）贯彻</w:t>
      </w:r>
      <w:r>
        <w:rPr>
          <w:rFonts w:hint="eastAsia" w:ascii="仿宋_GB2312" w:hAnsi="仿宋_GB2312" w:eastAsia="仿宋_GB2312" w:cs="仿宋_GB2312"/>
          <w:i w:val="0"/>
          <w:iCs w:val="0"/>
          <w:caps w:val="0"/>
          <w:color w:val="000000"/>
          <w:spacing w:val="0"/>
          <w:sz w:val="32"/>
          <w:szCs w:val="32"/>
          <w:lang w:val="en-US" w:eastAsia="zh-CN"/>
        </w:rPr>
        <w:t>执行</w:t>
      </w:r>
      <w:r>
        <w:rPr>
          <w:rFonts w:hint="eastAsia" w:ascii="仿宋_GB2312" w:hAnsi="仿宋_GB2312" w:eastAsia="仿宋_GB2312" w:cs="仿宋_GB2312"/>
          <w:i w:val="0"/>
          <w:iCs w:val="0"/>
          <w:caps w:val="0"/>
          <w:color w:val="000000"/>
          <w:spacing w:val="0"/>
          <w:sz w:val="32"/>
          <w:szCs w:val="32"/>
        </w:rPr>
        <w:t>国家和</w:t>
      </w:r>
      <w:r>
        <w:rPr>
          <w:rFonts w:hint="eastAsia" w:ascii="仿宋_GB2312" w:hAnsi="仿宋_GB2312" w:eastAsia="仿宋_GB2312" w:cs="仿宋_GB2312"/>
          <w:i w:val="0"/>
          <w:iCs w:val="0"/>
          <w:caps w:val="0"/>
          <w:color w:val="000000"/>
          <w:spacing w:val="0"/>
          <w:sz w:val="32"/>
          <w:szCs w:val="32"/>
          <w:lang w:val="en-US" w:eastAsia="zh-CN"/>
        </w:rPr>
        <w:t>自治区</w:t>
      </w:r>
      <w:r>
        <w:rPr>
          <w:rFonts w:hint="eastAsia" w:ascii="仿宋_GB2312" w:hAnsi="仿宋_GB2312" w:eastAsia="仿宋_GB2312" w:cs="仿宋_GB2312"/>
          <w:i w:val="0"/>
          <w:iCs w:val="0"/>
          <w:caps w:val="0"/>
          <w:color w:val="000000"/>
          <w:spacing w:val="0"/>
          <w:sz w:val="32"/>
          <w:szCs w:val="32"/>
        </w:rPr>
        <w:t>关于教育工作的</w:t>
      </w:r>
      <w:r>
        <w:rPr>
          <w:rFonts w:hint="eastAsia" w:ascii="仿宋_GB2312" w:hAnsi="仿宋_GB2312" w:eastAsia="仿宋_GB2312" w:cs="仿宋_GB2312"/>
          <w:i w:val="0"/>
          <w:iCs w:val="0"/>
          <w:caps w:val="0"/>
          <w:color w:val="000000"/>
          <w:spacing w:val="0"/>
          <w:sz w:val="32"/>
          <w:szCs w:val="32"/>
          <w:lang w:val="en-US" w:eastAsia="zh-CN"/>
        </w:rPr>
        <w:t>方针、政策及</w:t>
      </w:r>
      <w:r>
        <w:rPr>
          <w:rFonts w:hint="eastAsia" w:ascii="仿宋_GB2312" w:hAnsi="仿宋_GB2312" w:eastAsia="仿宋_GB2312" w:cs="仿宋_GB2312"/>
          <w:i w:val="0"/>
          <w:iCs w:val="0"/>
          <w:caps w:val="0"/>
          <w:color w:val="000000"/>
          <w:spacing w:val="0"/>
          <w:sz w:val="32"/>
          <w:szCs w:val="32"/>
        </w:rPr>
        <w:t>法律法规。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（三）推进义务教育均衡发展和促进教育公平，贯彻执行基础教育教学基本要求和教学基本文件，全面实施素质教育</w:t>
      </w:r>
      <w:r>
        <w:rPr>
          <w:rFonts w:hint="eastAsia" w:ascii="仿宋_GB2312" w:hAnsi="仿宋_GB2312" w:eastAsia="仿宋_GB2312" w:cs="仿宋_GB2312"/>
          <w:i w:val="0"/>
          <w:iCs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四）做好师生员工的思想政治、安全稳定、德智体美劳等教育工作，确保义务教育工作成效。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黑体" w:hAnsi="黑体" w:eastAsia="黑体" w:cs="黑体"/>
          <w:i w:val="0"/>
          <w:iCs w:val="0"/>
          <w:caps w:val="0"/>
          <w:color w:val="000000"/>
          <w:spacing w:val="0"/>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二、机构设置情况</w:t>
      </w:r>
    </w:p>
    <w:p>
      <w:pPr>
        <w:spacing w:line="560" w:lineRule="exact"/>
        <w:ind w:firstLine="640" w:firstLineChars="200"/>
        <w:rPr>
          <w:rFonts w:hint="eastAsia" w:ascii="仿宋_GB2312" w:hAnsi="仿宋_GB2312" w:eastAsia="仿宋_GB2312" w:cs="仿宋_GB2312"/>
          <w:bCs/>
          <w:sz w:val="32"/>
          <w:szCs w:val="32"/>
        </w:rPr>
      </w:pPr>
      <w:r>
        <w:rPr>
          <w:rFonts w:hint="eastAsia" w:ascii="仿宋" w:hAnsi="仿宋" w:eastAsia="仿宋"/>
          <w:sz w:val="32"/>
          <w:szCs w:val="32"/>
        </w:rPr>
        <w:t>单位共有行政单位1个，属事业单位</w:t>
      </w:r>
      <w:r>
        <w:rPr>
          <w:rFonts w:hint="eastAsia" w:ascii="仿宋" w:hAnsi="仿宋" w:eastAsia="仿宋"/>
          <w:sz w:val="32"/>
          <w:szCs w:val="32"/>
          <w:lang w:eastAsia="zh-CN"/>
        </w:rPr>
        <w:t>，</w:t>
      </w:r>
      <w:r>
        <w:rPr>
          <w:rFonts w:hint="eastAsia" w:ascii="仿宋_GB2312" w:hAnsi="仿宋_GB2312" w:eastAsia="仿宋_GB2312" w:cs="仿宋_GB2312"/>
          <w:bCs/>
          <w:sz w:val="32"/>
          <w:szCs w:val="32"/>
        </w:rPr>
        <w:t>为柳州市第十三中学。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单位人员编制总数为</w:t>
      </w:r>
      <w:r>
        <w:rPr>
          <w:rFonts w:hint="eastAsia" w:ascii="仿宋" w:hAnsi="仿宋" w:eastAsia="仿宋"/>
          <w:sz w:val="32"/>
          <w:szCs w:val="32"/>
          <w:lang w:val="en-US" w:eastAsia="zh-CN"/>
        </w:rPr>
        <w:t>106</w:t>
      </w:r>
      <w:r>
        <w:rPr>
          <w:rFonts w:hint="eastAsia" w:ascii="仿宋" w:hAnsi="仿宋" w:eastAsia="仿宋"/>
          <w:sz w:val="32"/>
          <w:szCs w:val="32"/>
        </w:rPr>
        <w:t>人，事业编制</w:t>
      </w:r>
      <w:r>
        <w:rPr>
          <w:rFonts w:hint="eastAsia" w:ascii="仿宋" w:hAnsi="仿宋" w:eastAsia="仿宋"/>
          <w:sz w:val="32"/>
          <w:szCs w:val="32"/>
          <w:lang w:val="en-US" w:eastAsia="zh-CN"/>
        </w:rPr>
        <w:t>106</w:t>
      </w:r>
      <w:r>
        <w:rPr>
          <w:rFonts w:hint="eastAsia" w:ascii="仿宋" w:hAnsi="仿宋" w:eastAsia="仿宋"/>
          <w:sz w:val="32"/>
          <w:szCs w:val="32"/>
        </w:rPr>
        <w:t>人。实有财政供养人数1</w:t>
      </w:r>
      <w:r>
        <w:rPr>
          <w:rFonts w:hint="eastAsia" w:ascii="仿宋" w:hAnsi="仿宋" w:eastAsia="仿宋"/>
          <w:sz w:val="32"/>
          <w:szCs w:val="32"/>
          <w:lang w:val="en-US" w:eastAsia="zh-CN"/>
        </w:rPr>
        <w:t>64</w:t>
      </w:r>
      <w:r>
        <w:rPr>
          <w:rFonts w:hint="eastAsia" w:ascii="仿宋" w:hAnsi="仿宋" w:eastAsia="仿宋"/>
          <w:sz w:val="32"/>
          <w:szCs w:val="32"/>
        </w:rPr>
        <w:t>人。</w:t>
      </w: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第二部分：</w:t>
      </w:r>
      <w:r>
        <w:rPr>
          <w:rFonts w:hint="eastAsia" w:eastAsia="黑体"/>
          <w:color w:val="000000"/>
          <w:kern w:val="0"/>
          <w:sz w:val="32"/>
          <w:szCs w:val="32"/>
          <w:lang w:eastAsia="zh-CN"/>
        </w:rPr>
        <w:t>柳州市十三中学</w:t>
      </w:r>
      <w:r>
        <w:rPr>
          <w:rFonts w:eastAsia="黑体"/>
          <w:color w:val="000000"/>
          <w:kern w:val="0"/>
          <w:sz w:val="32"/>
          <w:szCs w:val="32"/>
        </w:rPr>
        <w:t>2023年单位预算情况说明</w:t>
      </w:r>
    </w:p>
    <w:p>
      <w:pPr>
        <w:tabs>
          <w:tab w:val="center" w:pos="4475"/>
        </w:tabs>
        <w:spacing w:line="540" w:lineRule="exact"/>
        <w:ind w:firstLine="645"/>
        <w:rPr>
          <w:rFonts w:eastAsia="黑体"/>
          <w:color w:val="000000"/>
          <w:kern w:val="0"/>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一、单位收支预算情况说明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3</w:t>
      </w:r>
      <w:r>
        <w:rPr>
          <w:rFonts w:hint="eastAsia" w:ascii="仿宋_GB2312" w:hAnsi="华文仿宋" w:eastAsia="仿宋_GB2312" w:cs="Times New Roman"/>
          <w:kern w:val="2"/>
          <w:sz w:val="32"/>
          <w:szCs w:val="32"/>
        </w:rPr>
        <w:t>年部门收支总预算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s="Times New Roman"/>
          <w:kern w:val="2"/>
          <w:sz w:val="32"/>
          <w:szCs w:val="32"/>
        </w:rPr>
        <w:t>万元，收入包括：一般公共预算收入</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s="Times New Roman"/>
          <w:kern w:val="2"/>
          <w:sz w:val="32"/>
          <w:szCs w:val="32"/>
        </w:rPr>
        <w:t>万元；支出包括：一般公共服务支出2</w:t>
      </w:r>
      <w:r>
        <w:rPr>
          <w:rFonts w:hint="eastAsia" w:ascii="仿宋_GB2312" w:hAnsi="华文仿宋" w:eastAsia="仿宋_GB2312" w:cs="Times New Roman"/>
          <w:kern w:val="2"/>
          <w:sz w:val="32"/>
          <w:szCs w:val="32"/>
          <w:lang w:val="en-US" w:eastAsia="zh-CN"/>
        </w:rPr>
        <w:t>6.05</w:t>
      </w:r>
      <w:r>
        <w:rPr>
          <w:rFonts w:hint="eastAsia" w:ascii="仿宋_GB2312" w:hAnsi="华文仿宋" w:eastAsia="仿宋_GB2312" w:cs="Times New Roman"/>
          <w:kern w:val="2"/>
          <w:sz w:val="32"/>
          <w:szCs w:val="32"/>
        </w:rPr>
        <w:t>万元，教育支出</w:t>
      </w:r>
      <w:r>
        <w:rPr>
          <w:rFonts w:hint="eastAsia" w:ascii="仿宋_GB2312" w:hAnsi="华文仿宋" w:eastAsia="仿宋_GB2312" w:cs="Times New Roman"/>
          <w:kern w:val="2"/>
          <w:sz w:val="32"/>
          <w:szCs w:val="32"/>
          <w:lang w:val="en-US" w:eastAsia="zh-CN"/>
        </w:rPr>
        <w:t>1789.43</w:t>
      </w:r>
      <w:r>
        <w:rPr>
          <w:rFonts w:hint="eastAsia" w:ascii="仿宋_GB2312" w:hAnsi="华文仿宋" w:eastAsia="仿宋_GB2312" w:cs="Times New Roman"/>
          <w:kern w:val="2"/>
          <w:sz w:val="32"/>
          <w:szCs w:val="32"/>
        </w:rPr>
        <w:t>万元，科学技术支出</w:t>
      </w:r>
      <w:r>
        <w:rPr>
          <w:rFonts w:hint="eastAsia" w:ascii="仿宋_GB2312" w:hAnsi="华文仿宋" w:eastAsia="仿宋_GB2312" w:cs="Times New Roman"/>
          <w:kern w:val="2"/>
          <w:sz w:val="32"/>
          <w:szCs w:val="32"/>
          <w:lang w:val="en-US" w:eastAsia="zh-CN"/>
        </w:rPr>
        <w:t>8.72万元，</w:t>
      </w:r>
      <w:r>
        <w:rPr>
          <w:rFonts w:hint="eastAsia" w:ascii="仿宋_GB2312" w:hAnsi="华文仿宋" w:eastAsia="仿宋_GB2312" w:cs="Times New Roman"/>
          <w:kern w:val="2"/>
          <w:sz w:val="32"/>
          <w:szCs w:val="32"/>
        </w:rPr>
        <w:t>社会保障和就业支出</w:t>
      </w:r>
      <w:r>
        <w:rPr>
          <w:rFonts w:hint="eastAsia" w:ascii="仿宋_GB2312" w:hAnsi="华文仿宋" w:eastAsia="仿宋_GB2312" w:cs="Times New Roman"/>
          <w:kern w:val="2"/>
          <w:sz w:val="32"/>
          <w:szCs w:val="32"/>
          <w:lang w:val="en-US" w:eastAsia="zh-CN"/>
        </w:rPr>
        <w:t>366.12</w:t>
      </w:r>
      <w:r>
        <w:rPr>
          <w:rFonts w:hint="eastAsia" w:ascii="仿宋_GB2312" w:hAnsi="华文仿宋" w:eastAsia="仿宋_GB2312" w:cs="Times New Roman"/>
          <w:kern w:val="2"/>
          <w:sz w:val="32"/>
          <w:szCs w:val="32"/>
        </w:rPr>
        <w:t>万元，卫生健康支出</w:t>
      </w:r>
      <w:r>
        <w:rPr>
          <w:rFonts w:hint="eastAsia" w:ascii="仿宋_GB2312" w:hAnsi="华文仿宋" w:eastAsia="仿宋_GB2312" w:cs="Times New Roman"/>
          <w:kern w:val="2"/>
          <w:sz w:val="32"/>
          <w:szCs w:val="32"/>
          <w:lang w:val="en-US" w:eastAsia="zh-CN"/>
        </w:rPr>
        <w:t>28.67万元，</w:t>
      </w:r>
      <w:r>
        <w:rPr>
          <w:rFonts w:hint="eastAsia" w:ascii="仿宋_GB2312" w:hAnsi="华文仿宋" w:eastAsia="仿宋_GB2312" w:cs="Times New Roman"/>
          <w:kern w:val="2"/>
          <w:sz w:val="32"/>
          <w:szCs w:val="32"/>
        </w:rPr>
        <w:t>住房保障支出1</w:t>
      </w:r>
      <w:r>
        <w:rPr>
          <w:rFonts w:hint="eastAsia" w:ascii="仿宋_GB2312" w:hAnsi="华文仿宋" w:eastAsia="仿宋_GB2312" w:cs="Times New Roman"/>
          <w:kern w:val="2"/>
          <w:sz w:val="32"/>
          <w:szCs w:val="32"/>
          <w:lang w:val="en-US" w:eastAsia="zh-CN"/>
        </w:rPr>
        <w:t>56.31</w:t>
      </w:r>
      <w:r>
        <w:rPr>
          <w:rFonts w:hint="eastAsia" w:ascii="仿宋_GB2312" w:hAnsi="华文仿宋" w:eastAsia="仿宋_GB2312" w:cs="Times New Roman"/>
          <w:kern w:val="2"/>
          <w:sz w:val="32"/>
          <w:szCs w:val="32"/>
        </w:rPr>
        <w:t>万元。</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二、单位收入预算情况说明</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年部门收入总预算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olor w:val="000000"/>
          <w:sz w:val="32"/>
          <w:szCs w:val="32"/>
        </w:rPr>
        <w:t>万元。202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年收入预算总体增加主要是一般公共预算收入增加，增加的主要原因：202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年预算项目调整，增加预算项目以及增加预算项目金额。其中：一般公共预算收入</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olor w:val="000000"/>
          <w:sz w:val="32"/>
          <w:szCs w:val="32"/>
        </w:rPr>
        <w:t>万元，占收入总预算100%。</w:t>
      </w:r>
    </w:p>
    <w:p>
      <w:pPr>
        <w:spacing w:line="560" w:lineRule="exact"/>
        <w:ind w:firstLine="640" w:firstLineChars="200"/>
        <w:rPr>
          <w:rFonts w:hint="eastAsia" w:ascii="仿宋_GB2312" w:hAnsi="华文仿宋" w:eastAsia="仿宋_GB2312"/>
          <w:color w:val="000000"/>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三、单位支出预算情况说明</w:t>
      </w:r>
    </w:p>
    <w:p>
      <w:pPr>
        <w:tabs>
          <w:tab w:val="center" w:pos="4475"/>
        </w:tabs>
        <w:spacing w:line="560" w:lineRule="exact"/>
        <w:ind w:firstLine="645"/>
        <w:rPr>
          <w:rFonts w:hint="eastAsia" w:ascii="仿宋_GB2312" w:hAnsi="华文仿宋" w:eastAsia="仿宋_GB2312"/>
          <w:sz w:val="32"/>
          <w:szCs w:val="32"/>
          <w:highlight w:val="yellow"/>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年部门支出总预算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olor w:val="000000"/>
          <w:sz w:val="32"/>
          <w:szCs w:val="32"/>
        </w:rPr>
        <w:t>万元，基本支出预算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olor w:val="000000"/>
          <w:sz w:val="32"/>
          <w:szCs w:val="32"/>
        </w:rPr>
        <w:t>万元，占支出总预算的100%</w:t>
      </w:r>
      <w:r>
        <w:rPr>
          <w:rFonts w:hint="eastAsia" w:ascii="仿宋_GB2312" w:hAnsi="华文仿宋" w:eastAsia="仿宋_GB2312"/>
          <w:sz w:val="32"/>
          <w:szCs w:val="32"/>
        </w:rPr>
        <w:t>。</w:t>
      </w:r>
    </w:p>
    <w:p>
      <w:pPr>
        <w:spacing w:line="560" w:lineRule="exact"/>
        <w:ind w:firstLine="643" w:firstLineChars="200"/>
        <w:rPr>
          <w:rFonts w:ascii="仿宋_GB2312" w:hAnsi="华文仿宋" w:eastAsia="仿宋_GB2312"/>
          <w:sz w:val="32"/>
          <w:szCs w:val="32"/>
        </w:rPr>
      </w:pPr>
      <w:r>
        <w:rPr>
          <w:rFonts w:hint="eastAsia" w:ascii="仿宋_GB2312" w:hAnsi="华文仿宋" w:eastAsia="仿宋_GB2312"/>
          <w:b/>
          <w:bCs/>
          <w:sz w:val="32"/>
          <w:szCs w:val="32"/>
        </w:rPr>
        <w:t>（一）按支出功能分类科目划分，共分为5类，其中：</w:t>
      </w:r>
      <w:r>
        <w:rPr>
          <w:rFonts w:ascii="仿宋_GB2312" w:hAnsi="华文仿宋" w:eastAsia="仿宋_GB2312"/>
          <w:sz w:val="32"/>
          <w:szCs w:val="32"/>
        </w:rPr>
        <w:t xml:space="preserve"> </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kern w:val="2"/>
          <w:sz w:val="32"/>
          <w:szCs w:val="32"/>
        </w:rPr>
        <w:t>1.201类一</w:t>
      </w:r>
      <w:r>
        <w:rPr>
          <w:rFonts w:hint="eastAsia" w:ascii="仿宋_GB2312" w:hAnsi="华文仿宋" w:eastAsia="仿宋_GB2312" w:cs="Times New Roman"/>
          <w:color w:val="000000"/>
          <w:kern w:val="2"/>
          <w:sz w:val="32"/>
          <w:szCs w:val="32"/>
        </w:rPr>
        <w:t>般公共服务支出</w:t>
      </w:r>
      <w:r>
        <w:rPr>
          <w:rFonts w:hint="eastAsia" w:ascii="仿宋_GB2312" w:hAnsi="华文仿宋" w:eastAsia="仿宋_GB2312" w:cs="Times New Roman"/>
          <w:color w:val="000000"/>
          <w:kern w:val="2"/>
          <w:sz w:val="32"/>
          <w:szCs w:val="32"/>
          <w:lang w:val="en-US" w:eastAsia="zh-CN"/>
        </w:rPr>
        <w:t>26.05</w:t>
      </w:r>
      <w:r>
        <w:rPr>
          <w:rFonts w:hint="eastAsia" w:ascii="仿宋_GB2312" w:hAnsi="华文仿宋" w:eastAsia="仿宋_GB2312" w:cs="Times New Roman"/>
          <w:color w:val="000000"/>
          <w:kern w:val="2"/>
          <w:sz w:val="32"/>
          <w:szCs w:val="32"/>
        </w:rPr>
        <w:t>万元，占支出总预算1.1</w:t>
      </w:r>
      <w:r>
        <w:rPr>
          <w:rFonts w:hint="eastAsia" w:ascii="仿宋_GB2312" w:hAnsi="华文仿宋" w:eastAsia="仿宋_GB2312" w:cs="Times New Roman"/>
          <w:color w:val="000000"/>
          <w:kern w:val="2"/>
          <w:sz w:val="32"/>
          <w:szCs w:val="32"/>
          <w:lang w:val="en-US" w:eastAsia="zh-CN"/>
        </w:rPr>
        <w:t>0</w:t>
      </w:r>
      <w:r>
        <w:rPr>
          <w:rFonts w:hint="eastAsia" w:ascii="仿宋_GB2312" w:hAnsi="华文仿宋" w:eastAsia="仿宋_GB2312" w:cs="Times New Roman"/>
          <w:color w:val="000000"/>
          <w:kern w:val="2"/>
          <w:sz w:val="32"/>
          <w:szCs w:val="32"/>
        </w:rPr>
        <w:t>%。增加的主要原因是：</w:t>
      </w:r>
      <w:r>
        <w:rPr>
          <w:rFonts w:hint="eastAsia" w:ascii="仿宋" w:hAnsi="仿宋" w:eastAsia="仿宋"/>
          <w:color w:val="000000"/>
          <w:sz w:val="32"/>
          <w:szCs w:val="32"/>
        </w:rPr>
        <w:t>人员编制增加</w:t>
      </w:r>
      <w:r>
        <w:rPr>
          <w:rFonts w:hint="eastAsia" w:ascii="仿宋_GB2312" w:hAnsi="华文仿宋" w:eastAsia="仿宋_GB2312" w:cs="Times New Roman"/>
          <w:color w:val="000000"/>
          <w:kern w:val="2"/>
          <w:sz w:val="32"/>
          <w:szCs w:val="32"/>
        </w:rPr>
        <w:t>。</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kern w:val="2"/>
          <w:sz w:val="32"/>
          <w:szCs w:val="32"/>
        </w:rPr>
        <w:t>2.205教育支出1</w:t>
      </w:r>
      <w:r>
        <w:rPr>
          <w:rFonts w:hint="eastAsia" w:ascii="仿宋_GB2312" w:hAnsi="华文仿宋" w:eastAsia="仿宋_GB2312" w:cs="Times New Roman"/>
          <w:kern w:val="2"/>
          <w:sz w:val="32"/>
          <w:szCs w:val="32"/>
          <w:lang w:val="en-US" w:eastAsia="zh-CN"/>
        </w:rPr>
        <w:t>789.43</w:t>
      </w:r>
      <w:r>
        <w:rPr>
          <w:rFonts w:hint="eastAsia" w:ascii="仿宋_GB2312" w:hAnsi="华文仿宋" w:eastAsia="仿宋_GB2312" w:cs="Times New Roman"/>
          <w:kern w:val="2"/>
          <w:sz w:val="32"/>
          <w:szCs w:val="32"/>
        </w:rPr>
        <w:t>万元，占支出总预算7</w:t>
      </w:r>
      <w:r>
        <w:rPr>
          <w:rFonts w:hint="eastAsia" w:ascii="仿宋_GB2312" w:hAnsi="华文仿宋" w:eastAsia="仿宋_GB2312" w:cs="Times New Roman"/>
          <w:kern w:val="2"/>
          <w:sz w:val="32"/>
          <w:szCs w:val="32"/>
          <w:lang w:val="en-US" w:eastAsia="zh-CN"/>
        </w:rPr>
        <w:t>5.33</w:t>
      </w:r>
      <w:r>
        <w:rPr>
          <w:rFonts w:hint="eastAsia" w:ascii="仿宋_GB2312" w:hAnsi="华文仿宋" w:eastAsia="仿宋_GB2312" w:cs="Times New Roman"/>
          <w:kern w:val="2"/>
          <w:sz w:val="32"/>
          <w:szCs w:val="32"/>
        </w:rPr>
        <w:t>%。增加的主要原因</w:t>
      </w:r>
      <w:r>
        <w:rPr>
          <w:rFonts w:hint="eastAsia" w:ascii="仿宋_GB2312" w:hAnsi="华文仿宋" w:eastAsia="仿宋_GB2312" w:cs="Times New Roman"/>
          <w:color w:val="000000"/>
          <w:kern w:val="2"/>
          <w:sz w:val="32"/>
          <w:szCs w:val="32"/>
        </w:rPr>
        <w:t>是：</w:t>
      </w:r>
      <w:r>
        <w:rPr>
          <w:rFonts w:hint="eastAsia" w:ascii="仿宋" w:hAnsi="仿宋" w:eastAsia="仿宋"/>
          <w:color w:val="000000"/>
          <w:sz w:val="32"/>
          <w:szCs w:val="32"/>
        </w:rPr>
        <w:t>人员编制增加</w:t>
      </w:r>
      <w:r>
        <w:rPr>
          <w:rFonts w:hint="eastAsia" w:ascii="仿宋_GB2312" w:hAnsi="华文仿宋" w:eastAsia="仿宋_GB2312" w:cs="Times New Roman"/>
          <w:color w:val="000000"/>
          <w:kern w:val="2"/>
          <w:sz w:val="32"/>
          <w:szCs w:val="32"/>
        </w:rPr>
        <w:t>。</w:t>
      </w:r>
    </w:p>
    <w:p>
      <w:pPr>
        <w:pStyle w:val="4"/>
        <w:spacing w:before="0" w:beforeAutospacing="0" w:after="0" w:afterAutospacing="0" w:line="560" w:lineRule="exact"/>
        <w:ind w:firstLine="640" w:firstLineChars="200"/>
        <w:jc w:val="both"/>
        <w:rPr>
          <w:rFonts w:hint="default" w:ascii="仿宋_GB2312" w:hAnsi="华文仿宋" w:eastAsia="仿宋_GB2312" w:cs="Times New Roman"/>
          <w:color w:val="000000"/>
          <w:kern w:val="2"/>
          <w:sz w:val="32"/>
          <w:szCs w:val="32"/>
          <w:lang w:val="en-US" w:eastAsia="zh-CN"/>
        </w:rPr>
      </w:pPr>
      <w:r>
        <w:rPr>
          <w:rFonts w:hint="eastAsia" w:ascii="仿宋_GB2312" w:hAnsi="华文仿宋" w:eastAsia="仿宋_GB2312" w:cs="Times New Roman"/>
          <w:color w:val="000000"/>
          <w:kern w:val="2"/>
          <w:sz w:val="32"/>
          <w:szCs w:val="32"/>
          <w:lang w:val="en-US" w:eastAsia="zh-CN"/>
        </w:rPr>
        <w:t>3.206其他科学技术支出8.72万元，</w:t>
      </w:r>
      <w:r>
        <w:rPr>
          <w:rFonts w:hint="eastAsia" w:ascii="仿宋_GB2312" w:hAnsi="华文仿宋" w:eastAsia="仿宋_GB2312" w:cs="Times New Roman"/>
          <w:kern w:val="2"/>
          <w:sz w:val="32"/>
          <w:szCs w:val="32"/>
        </w:rPr>
        <w:t>占支出总预算</w:t>
      </w:r>
      <w:r>
        <w:rPr>
          <w:rFonts w:hint="eastAsia" w:ascii="仿宋_GB2312" w:hAnsi="华文仿宋" w:eastAsia="仿宋_GB2312" w:cs="Times New Roman"/>
          <w:kern w:val="2"/>
          <w:sz w:val="32"/>
          <w:szCs w:val="32"/>
          <w:lang w:val="en-US" w:eastAsia="zh-CN"/>
        </w:rPr>
        <w:t>0.37</w:t>
      </w:r>
      <w:r>
        <w:rPr>
          <w:rFonts w:hint="eastAsia" w:ascii="仿宋_GB2312" w:hAnsi="华文仿宋" w:eastAsia="仿宋_GB2312" w:cs="Times New Roman"/>
          <w:kern w:val="2"/>
          <w:sz w:val="32"/>
          <w:szCs w:val="32"/>
        </w:rPr>
        <w:t>%。增加的主要原因</w:t>
      </w:r>
      <w:r>
        <w:rPr>
          <w:rFonts w:hint="eastAsia" w:ascii="仿宋_GB2312" w:hAnsi="华文仿宋" w:eastAsia="仿宋_GB2312" w:cs="Times New Roman"/>
          <w:color w:val="000000"/>
          <w:kern w:val="2"/>
          <w:sz w:val="32"/>
          <w:szCs w:val="32"/>
        </w:rPr>
        <w:t>是：</w:t>
      </w:r>
      <w:r>
        <w:rPr>
          <w:rFonts w:hint="eastAsia" w:ascii="仿宋" w:hAnsi="仿宋" w:eastAsia="仿宋"/>
          <w:color w:val="000000"/>
          <w:sz w:val="32"/>
          <w:szCs w:val="32"/>
          <w:lang w:eastAsia="zh-CN"/>
        </w:rPr>
        <w:t>科研项目</w:t>
      </w:r>
      <w:r>
        <w:rPr>
          <w:rFonts w:hint="eastAsia" w:ascii="仿宋" w:hAnsi="仿宋" w:eastAsia="仿宋"/>
          <w:color w:val="000000"/>
          <w:sz w:val="32"/>
          <w:szCs w:val="32"/>
        </w:rPr>
        <w:t>增加</w:t>
      </w:r>
      <w:r>
        <w:rPr>
          <w:rFonts w:hint="eastAsia" w:ascii="仿宋_GB2312" w:hAnsi="华文仿宋" w:eastAsia="仿宋_GB2312" w:cs="Times New Roman"/>
          <w:color w:val="000000"/>
          <w:kern w:val="2"/>
          <w:sz w:val="32"/>
          <w:szCs w:val="32"/>
        </w:rPr>
        <w:t>。</w:t>
      </w:r>
    </w:p>
    <w:p>
      <w:pPr>
        <w:pStyle w:val="4"/>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_GB2312" w:hAnsi="华文仿宋" w:eastAsia="仿宋_GB2312" w:cs="Times New Roman"/>
          <w:color w:val="000000"/>
          <w:kern w:val="2"/>
          <w:sz w:val="32"/>
          <w:szCs w:val="32"/>
          <w:lang w:val="en-US" w:eastAsia="zh-CN"/>
        </w:rPr>
        <w:t>4</w:t>
      </w:r>
      <w:r>
        <w:rPr>
          <w:rFonts w:hint="eastAsia" w:ascii="仿宋_GB2312" w:hAnsi="华文仿宋" w:eastAsia="仿宋_GB2312" w:cs="Times New Roman"/>
          <w:color w:val="000000"/>
          <w:kern w:val="2"/>
          <w:sz w:val="32"/>
          <w:szCs w:val="32"/>
        </w:rPr>
        <w:t>.208类社会保障和就业支出</w:t>
      </w:r>
      <w:r>
        <w:rPr>
          <w:rFonts w:hint="eastAsia" w:ascii="仿宋_GB2312" w:hAnsi="华文仿宋" w:eastAsia="仿宋_GB2312" w:cs="Times New Roman"/>
          <w:color w:val="000000"/>
          <w:kern w:val="2"/>
          <w:sz w:val="32"/>
          <w:szCs w:val="32"/>
          <w:lang w:val="en-US" w:eastAsia="zh-CN"/>
        </w:rPr>
        <w:t>366.12</w:t>
      </w:r>
      <w:r>
        <w:rPr>
          <w:rFonts w:hint="eastAsia" w:ascii="仿宋_GB2312" w:hAnsi="华文仿宋" w:eastAsia="仿宋_GB2312" w:cs="Times New Roman"/>
          <w:color w:val="000000"/>
          <w:kern w:val="2"/>
          <w:sz w:val="32"/>
          <w:szCs w:val="32"/>
        </w:rPr>
        <w:t>万元，占支出总预算1</w:t>
      </w:r>
      <w:r>
        <w:rPr>
          <w:rFonts w:hint="eastAsia" w:ascii="仿宋_GB2312" w:hAnsi="华文仿宋" w:eastAsia="仿宋_GB2312" w:cs="Times New Roman"/>
          <w:color w:val="000000"/>
          <w:kern w:val="2"/>
          <w:sz w:val="32"/>
          <w:szCs w:val="32"/>
          <w:lang w:val="en-US" w:eastAsia="zh-CN"/>
        </w:rPr>
        <w:t>5.41</w:t>
      </w:r>
      <w:r>
        <w:rPr>
          <w:rFonts w:hint="eastAsia" w:ascii="仿宋_GB2312" w:hAnsi="华文仿宋" w:eastAsia="仿宋_GB2312" w:cs="Times New Roman"/>
          <w:color w:val="000000"/>
          <w:kern w:val="2"/>
          <w:sz w:val="32"/>
          <w:szCs w:val="32"/>
        </w:rPr>
        <w:t>%。</w:t>
      </w:r>
      <w:r>
        <w:rPr>
          <w:rFonts w:hint="eastAsia" w:ascii="仿宋_GB2312" w:hAnsi="华文仿宋" w:eastAsia="仿宋_GB2312" w:cs="Times New Roman"/>
          <w:kern w:val="2"/>
          <w:sz w:val="32"/>
          <w:szCs w:val="32"/>
        </w:rPr>
        <w:t>增加的主要原因</w:t>
      </w:r>
      <w:r>
        <w:rPr>
          <w:rFonts w:hint="eastAsia" w:ascii="仿宋_GB2312" w:hAnsi="华文仿宋" w:eastAsia="仿宋_GB2312" w:cs="Times New Roman"/>
          <w:color w:val="000000"/>
          <w:kern w:val="2"/>
          <w:sz w:val="32"/>
          <w:szCs w:val="32"/>
        </w:rPr>
        <w:t>是：</w:t>
      </w:r>
      <w:r>
        <w:rPr>
          <w:rFonts w:hint="eastAsia" w:ascii="仿宋" w:hAnsi="仿宋" w:eastAsia="仿宋"/>
          <w:color w:val="000000"/>
          <w:sz w:val="32"/>
          <w:szCs w:val="32"/>
        </w:rPr>
        <w:t>人员编制增加。</w:t>
      </w:r>
    </w:p>
    <w:p>
      <w:pPr>
        <w:pStyle w:val="4"/>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_GB2312" w:hAnsi="华文仿宋" w:eastAsia="仿宋_GB2312" w:cs="Times New Roman"/>
          <w:color w:val="000000"/>
          <w:kern w:val="2"/>
          <w:sz w:val="32"/>
          <w:szCs w:val="32"/>
          <w:lang w:val="en-US" w:eastAsia="zh-CN"/>
        </w:rPr>
        <w:t>5</w:t>
      </w:r>
      <w:r>
        <w:rPr>
          <w:rFonts w:hint="eastAsia" w:ascii="仿宋_GB2312" w:hAnsi="华文仿宋" w:eastAsia="仿宋_GB2312" w:cs="Times New Roman"/>
          <w:color w:val="000000"/>
          <w:kern w:val="2"/>
          <w:sz w:val="32"/>
          <w:szCs w:val="32"/>
        </w:rPr>
        <w:t>.2</w:t>
      </w:r>
      <w:r>
        <w:rPr>
          <w:rFonts w:hint="eastAsia" w:ascii="仿宋_GB2312" w:hAnsi="华文仿宋" w:eastAsia="仿宋_GB2312" w:cs="Times New Roman"/>
          <w:color w:val="000000"/>
          <w:kern w:val="2"/>
          <w:sz w:val="32"/>
          <w:szCs w:val="32"/>
          <w:lang w:val="en-US" w:eastAsia="zh-CN"/>
        </w:rPr>
        <w:t>10</w:t>
      </w:r>
      <w:r>
        <w:rPr>
          <w:rFonts w:hint="eastAsia" w:ascii="仿宋_GB2312" w:hAnsi="华文仿宋" w:eastAsia="仿宋_GB2312" w:cs="Times New Roman"/>
          <w:color w:val="000000"/>
          <w:kern w:val="2"/>
          <w:sz w:val="32"/>
          <w:szCs w:val="32"/>
        </w:rPr>
        <w:t>类事业单位医疗支出</w:t>
      </w:r>
      <w:r>
        <w:rPr>
          <w:rFonts w:hint="eastAsia" w:ascii="仿宋_GB2312" w:hAnsi="华文仿宋" w:eastAsia="仿宋_GB2312" w:cs="Times New Roman"/>
          <w:color w:val="000000"/>
          <w:kern w:val="2"/>
          <w:sz w:val="32"/>
          <w:szCs w:val="32"/>
          <w:lang w:val="en-US" w:eastAsia="zh-CN"/>
        </w:rPr>
        <w:t>28.67</w:t>
      </w:r>
      <w:r>
        <w:rPr>
          <w:rFonts w:hint="eastAsia" w:ascii="仿宋_GB2312" w:hAnsi="华文仿宋" w:eastAsia="仿宋_GB2312" w:cs="Times New Roman"/>
          <w:color w:val="000000"/>
          <w:kern w:val="2"/>
          <w:sz w:val="32"/>
          <w:szCs w:val="32"/>
        </w:rPr>
        <w:t>万元，占支出总预算1</w:t>
      </w:r>
      <w:r>
        <w:rPr>
          <w:rFonts w:hint="eastAsia" w:ascii="仿宋_GB2312" w:hAnsi="华文仿宋" w:eastAsia="仿宋_GB2312" w:cs="Times New Roman"/>
          <w:color w:val="000000"/>
          <w:kern w:val="2"/>
          <w:sz w:val="32"/>
          <w:szCs w:val="32"/>
          <w:lang w:val="en-US" w:eastAsia="zh-CN"/>
        </w:rPr>
        <w:t>.21</w:t>
      </w:r>
      <w:r>
        <w:rPr>
          <w:rFonts w:hint="eastAsia" w:ascii="仿宋_GB2312" w:hAnsi="华文仿宋" w:eastAsia="仿宋_GB2312" w:cs="Times New Roman"/>
          <w:color w:val="000000"/>
          <w:kern w:val="2"/>
          <w:sz w:val="32"/>
          <w:szCs w:val="32"/>
        </w:rPr>
        <w:t>%。</w:t>
      </w:r>
      <w:r>
        <w:rPr>
          <w:rFonts w:hint="eastAsia" w:ascii="仿宋_GB2312" w:hAnsi="华文仿宋" w:eastAsia="仿宋_GB2312" w:cs="Times New Roman"/>
          <w:kern w:val="2"/>
          <w:sz w:val="32"/>
          <w:szCs w:val="32"/>
        </w:rPr>
        <w:t>增加的主要原因</w:t>
      </w:r>
      <w:r>
        <w:rPr>
          <w:rFonts w:hint="eastAsia" w:ascii="仿宋_GB2312" w:hAnsi="华文仿宋" w:eastAsia="仿宋_GB2312" w:cs="Times New Roman"/>
          <w:color w:val="000000"/>
          <w:kern w:val="2"/>
          <w:sz w:val="32"/>
          <w:szCs w:val="32"/>
        </w:rPr>
        <w:t>是：</w:t>
      </w:r>
      <w:r>
        <w:rPr>
          <w:rFonts w:hint="eastAsia" w:ascii="仿宋" w:hAnsi="仿宋" w:eastAsia="仿宋"/>
          <w:color w:val="000000"/>
          <w:sz w:val="32"/>
          <w:szCs w:val="32"/>
        </w:rPr>
        <w:t>人员编制增加。</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lang w:val="en-US" w:eastAsia="zh-CN"/>
        </w:rPr>
        <w:t>6</w:t>
      </w:r>
      <w:r>
        <w:rPr>
          <w:rFonts w:hint="eastAsia" w:ascii="仿宋_GB2312" w:hAnsi="华文仿宋" w:eastAsia="仿宋_GB2312" w:cs="Times New Roman"/>
          <w:color w:val="000000"/>
          <w:kern w:val="2"/>
          <w:sz w:val="32"/>
          <w:szCs w:val="32"/>
        </w:rPr>
        <w:t>.221类住房保障支出1</w:t>
      </w:r>
      <w:r>
        <w:rPr>
          <w:rFonts w:hint="eastAsia" w:ascii="仿宋_GB2312" w:hAnsi="华文仿宋" w:eastAsia="仿宋_GB2312" w:cs="Times New Roman"/>
          <w:color w:val="000000"/>
          <w:kern w:val="2"/>
          <w:sz w:val="32"/>
          <w:szCs w:val="32"/>
          <w:lang w:val="en-US" w:eastAsia="zh-CN"/>
        </w:rPr>
        <w:t>56.31</w:t>
      </w:r>
      <w:r>
        <w:rPr>
          <w:rFonts w:hint="eastAsia" w:ascii="仿宋_GB2312" w:hAnsi="华文仿宋" w:eastAsia="仿宋_GB2312" w:cs="Times New Roman"/>
          <w:color w:val="000000"/>
          <w:kern w:val="2"/>
          <w:sz w:val="32"/>
          <w:szCs w:val="32"/>
        </w:rPr>
        <w:t>万元，占支出总预算6.</w:t>
      </w:r>
      <w:r>
        <w:rPr>
          <w:rFonts w:hint="eastAsia" w:ascii="仿宋_GB2312" w:hAnsi="华文仿宋" w:eastAsia="仿宋_GB2312" w:cs="Times New Roman"/>
          <w:color w:val="000000"/>
          <w:kern w:val="2"/>
          <w:sz w:val="32"/>
          <w:szCs w:val="32"/>
          <w:lang w:val="en-US" w:eastAsia="zh-CN"/>
        </w:rPr>
        <w:t>58</w:t>
      </w:r>
      <w:r>
        <w:rPr>
          <w:rFonts w:hint="eastAsia" w:ascii="仿宋_GB2312" w:hAnsi="华文仿宋" w:eastAsia="仿宋_GB2312" w:cs="Times New Roman"/>
          <w:color w:val="000000"/>
          <w:kern w:val="2"/>
          <w:sz w:val="32"/>
          <w:szCs w:val="32"/>
        </w:rPr>
        <w:t>%。增加的主要原因是：</w:t>
      </w:r>
      <w:r>
        <w:rPr>
          <w:rFonts w:hint="eastAsia" w:ascii="仿宋" w:hAnsi="仿宋" w:eastAsia="仿宋"/>
          <w:color w:val="000000"/>
          <w:sz w:val="32"/>
          <w:szCs w:val="32"/>
        </w:rPr>
        <w:t>人员编制增加</w:t>
      </w:r>
      <w:r>
        <w:rPr>
          <w:rFonts w:hint="eastAsia" w:ascii="仿宋_GB2312" w:hAnsi="华文仿宋" w:eastAsia="仿宋_GB2312" w:cs="Times New Roman"/>
          <w:color w:val="000000"/>
          <w:kern w:val="2"/>
          <w:sz w:val="32"/>
          <w:szCs w:val="32"/>
        </w:rPr>
        <w:t>。</w:t>
      </w:r>
    </w:p>
    <w:p>
      <w:pPr>
        <w:pStyle w:val="4"/>
        <w:spacing w:before="0" w:beforeAutospacing="0" w:after="0" w:afterAutospacing="0" w:line="560" w:lineRule="exact"/>
        <w:ind w:firstLine="643" w:firstLineChars="200"/>
        <w:jc w:val="both"/>
        <w:rPr>
          <w:rFonts w:hint="eastAsia" w:ascii="仿宋_GB2312" w:hAnsi="华文仿宋" w:eastAsia="仿宋_GB2312" w:cs="Times New Roman"/>
          <w:b/>
          <w:bCs/>
          <w:kern w:val="2"/>
          <w:sz w:val="32"/>
          <w:szCs w:val="32"/>
        </w:rPr>
      </w:pPr>
      <w:r>
        <w:rPr>
          <w:rFonts w:hint="eastAsia" w:ascii="仿宋_GB2312" w:hAnsi="华文仿宋" w:eastAsia="仿宋_GB2312" w:cs="Times New Roman"/>
          <w:b/>
          <w:bCs/>
          <w:kern w:val="2"/>
          <w:sz w:val="32"/>
          <w:szCs w:val="32"/>
        </w:rPr>
        <w:t>（二）按支出结构分类划分，分为基本支出预算和项目支出预算。</w:t>
      </w:r>
    </w:p>
    <w:p>
      <w:pPr>
        <w:pStyle w:val="4"/>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基本支出预算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s="Times New Roman"/>
          <w:kern w:val="2"/>
          <w:sz w:val="32"/>
          <w:szCs w:val="32"/>
        </w:rPr>
        <w:t>万元，占一般公共预算拨款支出预算100%。增加的主要原因：人</w:t>
      </w:r>
      <w:r>
        <w:rPr>
          <w:rFonts w:hint="eastAsia" w:ascii="仿宋" w:hAnsi="仿宋" w:eastAsia="仿宋"/>
          <w:color w:val="000000"/>
          <w:sz w:val="32"/>
          <w:szCs w:val="32"/>
        </w:rPr>
        <w:t>员编制增加和绩效提标</w:t>
      </w:r>
      <w:r>
        <w:rPr>
          <w:rFonts w:hint="eastAsia" w:ascii="仿宋_GB2312" w:hAnsi="华文仿宋" w:eastAsia="仿宋_GB2312" w:cs="Times New Roman"/>
          <w:kern w:val="2"/>
          <w:sz w:val="32"/>
          <w:szCs w:val="32"/>
        </w:rPr>
        <w:t>。</w:t>
      </w:r>
    </w:p>
    <w:p>
      <w:pPr>
        <w:pStyle w:val="4"/>
        <w:tabs>
          <w:tab w:val="center" w:pos="4475"/>
        </w:tabs>
        <w:spacing w:before="0" w:beforeAutospacing="0" w:after="0" w:afterAutospacing="0" w:line="560" w:lineRule="exact"/>
        <w:ind w:firstLine="640" w:firstLineChars="200"/>
        <w:rPr>
          <w:rFonts w:hint="eastAsia" w:ascii="仿宋_GB2312" w:hAnsi="华文仿宋" w:eastAsia="仿宋_GB2312" w:cs="Times New Roman"/>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年支出预算总体增加的主要原因：一是人员编制增加和绩效提标；二是新增预算项目。</w:t>
      </w:r>
    </w:p>
    <w:p>
      <w:pPr>
        <w:tabs>
          <w:tab w:val="center" w:pos="4475"/>
        </w:tabs>
        <w:spacing w:line="540" w:lineRule="exact"/>
        <w:ind w:firstLine="645"/>
        <w:rPr>
          <w:rFonts w:eastAsia="黑体"/>
          <w:color w:val="000000"/>
          <w:kern w:val="0"/>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四、财政拨款收支预算情况说明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3</w:t>
      </w:r>
      <w:r>
        <w:rPr>
          <w:rFonts w:hint="eastAsia" w:ascii="仿宋_GB2312" w:hAnsi="华文仿宋" w:eastAsia="仿宋_GB2312" w:cs="Times New Roman"/>
          <w:kern w:val="2"/>
          <w:sz w:val="32"/>
          <w:szCs w:val="32"/>
        </w:rPr>
        <w:t>年部门财政拨款收支总预算</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s="Times New Roman"/>
          <w:kern w:val="2"/>
          <w:sz w:val="32"/>
          <w:szCs w:val="32"/>
        </w:rPr>
        <w:t>万元，收入包括：一般公共预算拨款</w:t>
      </w:r>
      <w:r>
        <w:rPr>
          <w:rFonts w:hint="eastAsia" w:ascii="仿宋_GB2312" w:hAnsi="华文仿宋" w:eastAsia="仿宋_GB2312" w:cs="Times New Roman"/>
          <w:kern w:val="2"/>
          <w:sz w:val="32"/>
          <w:szCs w:val="32"/>
          <w:lang w:val="en-US" w:eastAsia="zh-CN"/>
        </w:rPr>
        <w:t>2375.30</w:t>
      </w:r>
      <w:r>
        <w:rPr>
          <w:rFonts w:hint="eastAsia" w:ascii="仿宋_GB2312" w:hAnsi="华文仿宋" w:eastAsia="仿宋_GB2312" w:cs="Times New Roman"/>
          <w:kern w:val="2"/>
          <w:sz w:val="32"/>
          <w:szCs w:val="32"/>
        </w:rPr>
        <w:t>万元；支出包括：201类一般公共服务支出</w:t>
      </w:r>
      <w:r>
        <w:rPr>
          <w:rFonts w:hint="eastAsia" w:ascii="仿宋_GB2312" w:hAnsi="华文仿宋" w:eastAsia="仿宋_GB2312" w:cs="Times New Roman"/>
          <w:kern w:val="2"/>
          <w:sz w:val="32"/>
          <w:szCs w:val="32"/>
          <w:lang w:val="en-US" w:eastAsia="zh-CN"/>
        </w:rPr>
        <w:t>26.05</w:t>
      </w:r>
      <w:r>
        <w:rPr>
          <w:rFonts w:hint="eastAsia" w:ascii="仿宋_GB2312" w:hAnsi="华文仿宋" w:eastAsia="仿宋_GB2312" w:cs="Times New Roman"/>
          <w:kern w:val="2"/>
          <w:sz w:val="32"/>
          <w:szCs w:val="32"/>
        </w:rPr>
        <w:t>万元，205</w:t>
      </w:r>
      <w:r>
        <w:rPr>
          <w:rFonts w:hint="eastAsia" w:ascii="仿宋_GB2312" w:hAnsi="华文仿宋" w:eastAsia="仿宋_GB2312" w:cs="Times New Roman"/>
          <w:kern w:val="2"/>
          <w:sz w:val="32"/>
          <w:szCs w:val="32"/>
          <w:lang w:eastAsia="zh-CN"/>
        </w:rPr>
        <w:t>类</w:t>
      </w:r>
      <w:r>
        <w:rPr>
          <w:rFonts w:hint="eastAsia" w:ascii="仿宋_GB2312" w:hAnsi="华文仿宋" w:eastAsia="仿宋_GB2312" w:cs="Times New Roman"/>
          <w:kern w:val="2"/>
          <w:sz w:val="32"/>
          <w:szCs w:val="32"/>
        </w:rPr>
        <w:t>教育支出</w:t>
      </w:r>
      <w:r>
        <w:rPr>
          <w:rFonts w:hint="eastAsia" w:ascii="仿宋_GB2312" w:hAnsi="华文仿宋" w:eastAsia="仿宋_GB2312" w:cs="Times New Roman"/>
          <w:kern w:val="2"/>
          <w:sz w:val="32"/>
          <w:szCs w:val="32"/>
          <w:lang w:val="en-US" w:eastAsia="zh-CN"/>
        </w:rPr>
        <w:t>1789.43</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kern w:val="2"/>
          <w:sz w:val="32"/>
          <w:szCs w:val="32"/>
          <w:lang w:val="en-US" w:eastAsia="zh-CN"/>
        </w:rPr>
        <w:t>206类其他科学技术支出8.72万元，</w:t>
      </w:r>
      <w:r>
        <w:rPr>
          <w:rFonts w:hint="eastAsia" w:ascii="仿宋_GB2312" w:hAnsi="华文仿宋" w:eastAsia="仿宋_GB2312" w:cs="Times New Roman"/>
          <w:kern w:val="2"/>
          <w:sz w:val="32"/>
          <w:szCs w:val="32"/>
        </w:rPr>
        <w:t>208类社会保障和就业支出</w:t>
      </w:r>
      <w:r>
        <w:rPr>
          <w:rFonts w:hint="eastAsia" w:ascii="仿宋_GB2312" w:hAnsi="华文仿宋" w:eastAsia="仿宋_GB2312" w:cs="Times New Roman"/>
          <w:color w:val="000000"/>
          <w:kern w:val="2"/>
          <w:sz w:val="32"/>
          <w:szCs w:val="32"/>
          <w:lang w:val="en-US" w:eastAsia="zh-CN"/>
        </w:rPr>
        <w:t>366.12</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kern w:val="2"/>
          <w:sz w:val="32"/>
          <w:szCs w:val="32"/>
          <w:lang w:val="en-US" w:eastAsia="zh-CN"/>
        </w:rPr>
        <w:t>210类事业单位医疗28.67万元，</w:t>
      </w:r>
      <w:r>
        <w:rPr>
          <w:rFonts w:hint="eastAsia" w:ascii="仿宋_GB2312" w:hAnsi="华文仿宋" w:eastAsia="仿宋_GB2312" w:cs="Times New Roman"/>
          <w:kern w:val="2"/>
          <w:sz w:val="32"/>
          <w:szCs w:val="32"/>
        </w:rPr>
        <w:t>221类住房保障支出</w:t>
      </w:r>
      <w:r>
        <w:rPr>
          <w:rFonts w:hint="eastAsia" w:ascii="仿宋_GB2312" w:hAnsi="华文仿宋" w:eastAsia="仿宋_GB2312" w:cs="Times New Roman"/>
          <w:color w:val="000000"/>
          <w:kern w:val="2"/>
          <w:sz w:val="32"/>
          <w:szCs w:val="32"/>
        </w:rPr>
        <w:t>1</w:t>
      </w:r>
      <w:r>
        <w:rPr>
          <w:rFonts w:hint="eastAsia" w:ascii="仿宋_GB2312" w:hAnsi="华文仿宋" w:eastAsia="仿宋_GB2312" w:cs="Times New Roman"/>
          <w:color w:val="000000"/>
          <w:kern w:val="2"/>
          <w:sz w:val="32"/>
          <w:szCs w:val="32"/>
          <w:lang w:val="en-US" w:eastAsia="zh-CN"/>
        </w:rPr>
        <w:t>56.31</w:t>
      </w:r>
      <w:r>
        <w:rPr>
          <w:rFonts w:hint="eastAsia" w:ascii="仿宋_GB2312" w:hAnsi="华文仿宋" w:eastAsia="仿宋_GB2312" w:cs="Times New Roman"/>
          <w:kern w:val="2"/>
          <w:sz w:val="32"/>
          <w:szCs w:val="32"/>
        </w:rPr>
        <w:t>万元。</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五、一般公共预算支出情况说明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年部门一般公共预算拨款支出</w:t>
      </w:r>
      <w:r>
        <w:rPr>
          <w:rFonts w:hint="eastAsia" w:ascii="仿宋_GB2312" w:hAnsi="仿宋_GB2312" w:eastAsia="仿宋_GB2312" w:cs="仿宋_GB2312"/>
          <w:sz w:val="32"/>
          <w:szCs w:val="32"/>
          <w:lang w:val="en-US" w:eastAsia="zh-CN"/>
        </w:rPr>
        <w:t>2375.30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2375.30</w:t>
      </w:r>
      <w:r>
        <w:rPr>
          <w:rFonts w:hint="eastAsia" w:ascii="仿宋_GB2312" w:hAnsi="仿宋_GB2312" w:eastAsia="仿宋_GB2312" w:cs="仿宋_GB2312"/>
          <w:sz w:val="32"/>
          <w:szCs w:val="32"/>
        </w:rPr>
        <w:t>万元，具体支出预算如下：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其他群众团体事务支出支出</w:t>
      </w:r>
      <w:r>
        <w:rPr>
          <w:rFonts w:hint="eastAsia" w:ascii="仿宋_GB2312" w:hAnsi="仿宋_GB2312" w:eastAsia="仿宋_GB2312" w:cs="仿宋_GB2312"/>
          <w:sz w:val="32"/>
          <w:szCs w:val="32"/>
          <w:lang w:val="en-US" w:eastAsia="zh-CN"/>
        </w:rPr>
        <w:t>26.05</w:t>
      </w:r>
      <w:r>
        <w:rPr>
          <w:rFonts w:hint="eastAsia" w:ascii="仿宋_GB2312" w:hAnsi="仿宋_GB2312" w:eastAsia="仿宋_GB2312" w:cs="仿宋_GB2312"/>
          <w:sz w:val="32"/>
          <w:szCs w:val="32"/>
        </w:rPr>
        <w:t>万元，全部为基本支出预算。主要用于工会经费的支出。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初中教育支出</w:t>
      </w:r>
      <w:r>
        <w:rPr>
          <w:rFonts w:hint="eastAsia" w:ascii="仿宋_GB2312" w:hAnsi="仿宋_GB2312" w:eastAsia="仿宋_GB2312" w:cs="仿宋_GB2312"/>
          <w:sz w:val="32"/>
          <w:szCs w:val="32"/>
          <w:lang w:val="en-US" w:eastAsia="zh-CN"/>
        </w:rPr>
        <w:t>1789.43</w:t>
      </w:r>
      <w:r>
        <w:rPr>
          <w:rFonts w:hint="eastAsia" w:ascii="仿宋_GB2312" w:hAnsi="仿宋_GB2312" w:eastAsia="仿宋_GB2312" w:cs="仿宋_GB2312"/>
          <w:sz w:val="32"/>
          <w:szCs w:val="32"/>
        </w:rPr>
        <w:t>万元。基本支出</w:t>
      </w:r>
      <w:r>
        <w:rPr>
          <w:rFonts w:hint="eastAsia" w:ascii="仿宋_GB2312" w:hAnsi="仿宋_GB2312" w:eastAsia="仿宋_GB2312" w:cs="仿宋_GB2312"/>
          <w:sz w:val="32"/>
          <w:szCs w:val="32"/>
          <w:lang w:val="en-US" w:eastAsia="zh-CN"/>
        </w:rPr>
        <w:t>1789.43</w:t>
      </w:r>
      <w:r>
        <w:rPr>
          <w:rFonts w:hint="eastAsia" w:ascii="仿宋_GB2312" w:hAnsi="仿宋_GB2312" w:eastAsia="仿宋_GB2312" w:cs="仿宋_GB2312"/>
          <w:sz w:val="32"/>
          <w:szCs w:val="32"/>
        </w:rPr>
        <w:t>万元，主要用于基本人员经费及生均公用经费支出。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其他科学技术支出</w:t>
      </w:r>
      <w:r>
        <w:rPr>
          <w:rFonts w:hint="eastAsia" w:ascii="仿宋_GB2312" w:hAnsi="仿宋_GB2312" w:eastAsia="仿宋_GB2312" w:cs="仿宋_GB2312"/>
          <w:sz w:val="32"/>
          <w:szCs w:val="32"/>
          <w:lang w:val="en-US" w:eastAsia="zh-CN"/>
        </w:rPr>
        <w:t>8.72万元，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科研项目</w:t>
      </w:r>
      <w:r>
        <w:rPr>
          <w:rFonts w:hint="eastAsia" w:ascii="仿宋_GB2312" w:hAnsi="仿宋_GB2312" w:eastAsia="仿宋_GB2312" w:cs="仿宋_GB2312"/>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事业单位离退休支出</w:t>
      </w:r>
      <w:r>
        <w:rPr>
          <w:rFonts w:hint="eastAsia" w:ascii="仿宋_GB2312" w:hAnsi="仿宋_GB2312" w:eastAsia="仿宋_GB2312" w:cs="仿宋_GB2312"/>
          <w:sz w:val="32"/>
          <w:szCs w:val="32"/>
          <w:lang w:val="en-US" w:eastAsia="zh-CN"/>
        </w:rPr>
        <w:t>53.49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rPr>
        <w:t>人员基本的</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val="en-US" w:eastAsia="zh-CN"/>
        </w:rPr>
        <w:t>208.42</w:t>
      </w:r>
      <w:r>
        <w:rPr>
          <w:rFonts w:hint="eastAsia" w:ascii="仿宋_GB2312" w:hAnsi="仿宋_GB2312" w:eastAsia="仿宋_GB2312" w:cs="仿宋_GB2312"/>
          <w:sz w:val="32"/>
          <w:szCs w:val="32"/>
        </w:rPr>
        <w:t>万元，全部为基本支出预算。主要用于在职人员基本养老保险的支出。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104.21</w:t>
      </w:r>
      <w:r>
        <w:rPr>
          <w:rFonts w:hint="eastAsia" w:ascii="仿宋_GB2312" w:hAnsi="仿宋_GB2312" w:eastAsia="仿宋_GB2312" w:cs="仿宋_GB2312"/>
          <w:sz w:val="32"/>
          <w:szCs w:val="32"/>
        </w:rPr>
        <w:t>万元，全部为基本支出预算。主要用于</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职业年金的支出。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lang w:val="en-US" w:eastAsia="zh-CN"/>
        </w:rPr>
        <w:t>28.67</w:t>
      </w:r>
      <w:r>
        <w:rPr>
          <w:rFonts w:hint="eastAsia" w:ascii="仿宋_GB2312" w:hAnsi="仿宋_GB2312" w:eastAsia="仿宋_GB2312" w:cs="仿宋_GB2312"/>
          <w:sz w:val="32"/>
          <w:szCs w:val="32"/>
        </w:rPr>
        <w:t>万元，全部为基本支出预算。主要用于在职人员事业单位医疗。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156.31</w:t>
      </w:r>
      <w:r>
        <w:rPr>
          <w:rFonts w:hint="eastAsia" w:ascii="仿宋_GB2312" w:hAnsi="仿宋_GB2312" w:eastAsia="仿宋_GB2312" w:cs="仿宋_GB2312"/>
          <w:sz w:val="32"/>
          <w:szCs w:val="32"/>
        </w:rPr>
        <w:t>万元，全部为基本支出预算。主要用于在职人员单位部分住房公积金。</w:t>
      </w:r>
    </w:p>
    <w:p>
      <w:pPr>
        <w:pStyle w:val="4"/>
        <w:numPr>
          <w:ilvl w:val="0"/>
          <w:numId w:val="0"/>
        </w:numPr>
        <w:spacing w:before="0" w:beforeAutospacing="0" w:after="0" w:afterAutospacing="0" w:line="560" w:lineRule="exact"/>
        <w:ind w:left="284" w:leftChars="0"/>
        <w:rPr>
          <w:rFonts w:hint="eastAsia" w:ascii="仿宋_GB2312" w:hAnsi="华文仿宋" w:eastAsia="仿宋_GB2312" w:cs="Times New Roman"/>
          <w:color w:val="auto"/>
          <w:kern w:val="2"/>
          <w:sz w:val="32"/>
          <w:szCs w:val="32"/>
          <w:highlight w:val="none"/>
        </w:rPr>
      </w:pPr>
    </w:p>
    <w:p>
      <w:pPr>
        <w:tabs>
          <w:tab w:val="center" w:pos="4475"/>
        </w:tabs>
        <w:spacing w:line="540" w:lineRule="exact"/>
        <w:ind w:firstLine="645"/>
        <w:rPr>
          <w:rFonts w:eastAsia="黑体"/>
          <w:color w:val="auto"/>
          <w:kern w:val="0"/>
          <w:sz w:val="32"/>
          <w:szCs w:val="32"/>
          <w:highlight w:val="none"/>
        </w:rPr>
      </w:pPr>
      <w:r>
        <w:rPr>
          <w:rFonts w:eastAsia="黑体"/>
          <w:color w:val="auto"/>
          <w:kern w:val="0"/>
          <w:sz w:val="32"/>
          <w:szCs w:val="32"/>
          <w:highlight w:val="none"/>
        </w:rPr>
        <w:t>六、一般公共预算基本支出情况说明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rPr>
      </w:pPr>
      <w:r>
        <w:rPr>
          <w:rFonts w:hint="eastAsia" w:ascii="仿宋_GB2312" w:hAnsi="华文仿宋" w:eastAsia="仿宋_GB2312" w:cs="Times New Roman"/>
          <w:color w:val="auto"/>
          <w:kern w:val="2"/>
          <w:sz w:val="32"/>
          <w:szCs w:val="32"/>
          <w:highlight w:val="none"/>
        </w:rPr>
        <w:t>2022年部门一般公共预算基本支出1876.06万元，其中：</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rPr>
      </w:pPr>
      <w:r>
        <w:rPr>
          <w:rFonts w:hint="eastAsia" w:ascii="仿宋_GB2312" w:hAnsi="华文仿宋" w:eastAsia="仿宋_GB2312" w:cs="Times New Roman"/>
          <w:color w:val="auto"/>
          <w:kern w:val="2"/>
          <w:sz w:val="32"/>
          <w:szCs w:val="32"/>
          <w:highlight w:val="none"/>
        </w:rPr>
        <w:t>（一）人员经费</w:t>
      </w:r>
      <w:r>
        <w:rPr>
          <w:rFonts w:hint="eastAsia" w:ascii="仿宋_GB2312" w:hAnsi="华文仿宋" w:eastAsia="仿宋_GB2312" w:cs="Times New Roman"/>
          <w:color w:val="auto"/>
          <w:kern w:val="2"/>
          <w:sz w:val="32"/>
          <w:szCs w:val="32"/>
          <w:highlight w:val="none"/>
          <w:lang w:val="en-US" w:eastAsia="zh-CN"/>
        </w:rPr>
        <w:t>2298.80</w:t>
      </w:r>
      <w:r>
        <w:rPr>
          <w:rFonts w:hint="eastAsia" w:ascii="仿宋_GB2312" w:hAnsi="华文仿宋" w:eastAsia="仿宋_GB2312" w:cs="Times New Roman"/>
          <w:color w:val="auto"/>
          <w:kern w:val="2"/>
          <w:sz w:val="32"/>
          <w:szCs w:val="32"/>
          <w:highlight w:val="none"/>
        </w:rPr>
        <w:t>万元，主要包括：基本工资、津贴补贴、奖金、机关事业单位基本养老保险缴费、职业年金缴费、职工基本医疗保险缴费、公务员医疗补助缴费、其他社会保险缴费、住房公积金。</w:t>
      </w: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r>
        <w:rPr>
          <w:rFonts w:hint="eastAsia" w:ascii="仿宋_GB2312" w:hAnsi="华文仿宋" w:eastAsia="仿宋_GB2312" w:cs="Times New Roman"/>
          <w:color w:val="auto"/>
          <w:kern w:val="2"/>
          <w:sz w:val="32"/>
          <w:szCs w:val="32"/>
          <w:highlight w:val="none"/>
        </w:rPr>
        <w:t>（二）公用经费</w:t>
      </w:r>
      <w:r>
        <w:rPr>
          <w:rFonts w:hint="eastAsia" w:ascii="仿宋_GB2312" w:hAnsi="华文仿宋" w:eastAsia="仿宋_GB2312" w:cs="Times New Roman"/>
          <w:color w:val="auto"/>
          <w:kern w:val="2"/>
          <w:sz w:val="32"/>
          <w:szCs w:val="32"/>
          <w:highlight w:val="none"/>
          <w:lang w:val="en-US" w:eastAsia="zh-CN"/>
        </w:rPr>
        <w:t>76.51</w:t>
      </w:r>
      <w:r>
        <w:rPr>
          <w:rFonts w:hint="eastAsia" w:ascii="仿宋_GB2312" w:hAnsi="华文仿宋" w:eastAsia="仿宋_GB2312" w:cs="Times New Roman"/>
          <w:color w:val="auto"/>
          <w:kern w:val="2"/>
          <w:sz w:val="32"/>
          <w:szCs w:val="32"/>
          <w:highlight w:val="none"/>
        </w:rPr>
        <w:t>万元，主要包括：办公费、印刷费、水费、电费、邮电费、物业管理费、差旅费、维修（护）费、会议费、培训费、公务接待费、工会经费、其他交通费用、其他商品和服务支出。</w:t>
      </w:r>
    </w:p>
    <w:p>
      <w:pPr>
        <w:tabs>
          <w:tab w:val="center" w:pos="4475"/>
        </w:tabs>
        <w:spacing w:line="540" w:lineRule="exact"/>
        <w:ind w:firstLine="645"/>
        <w:rPr>
          <w:rFonts w:eastAsia="黑体"/>
          <w:color w:val="auto"/>
          <w:kern w:val="0"/>
          <w:sz w:val="32"/>
          <w:szCs w:val="32"/>
          <w:highlight w:val="none"/>
        </w:rPr>
      </w:pPr>
    </w:p>
    <w:p>
      <w:pPr>
        <w:tabs>
          <w:tab w:val="center" w:pos="4475"/>
        </w:tabs>
        <w:spacing w:line="540" w:lineRule="exact"/>
        <w:ind w:firstLine="645"/>
        <w:rPr>
          <w:rFonts w:eastAsia="黑体"/>
          <w:color w:val="auto"/>
          <w:kern w:val="0"/>
          <w:sz w:val="32"/>
          <w:szCs w:val="32"/>
          <w:highlight w:val="none"/>
        </w:rPr>
      </w:pPr>
      <w:r>
        <w:rPr>
          <w:rFonts w:eastAsia="黑体"/>
          <w:color w:val="auto"/>
          <w:kern w:val="0"/>
          <w:sz w:val="32"/>
          <w:szCs w:val="32"/>
          <w:highlight w:val="none"/>
        </w:rPr>
        <w:t>七、一般公共预算“三公”经费情况说明</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2023年</w:t>
      </w:r>
      <w:r>
        <w:rPr>
          <w:rFonts w:hint="eastAsia" w:ascii="Times New Roman" w:hAnsi="Times New Roman" w:eastAsia="仿宋_GB2312" w:cs="Times New Roman"/>
          <w:bCs/>
          <w:color w:val="000000"/>
          <w:sz w:val="32"/>
          <w:szCs w:val="32"/>
          <w:highlight w:val="none"/>
          <w:lang w:eastAsia="zh-CN"/>
        </w:rPr>
        <w:t>单位</w:t>
      </w:r>
      <w:r>
        <w:rPr>
          <w:rFonts w:ascii="Times New Roman" w:hAnsi="Times New Roman" w:eastAsia="仿宋_GB2312" w:cs="Times New Roman"/>
          <w:bCs/>
          <w:color w:val="000000"/>
          <w:sz w:val="32"/>
          <w:szCs w:val="32"/>
          <w:highlight w:val="none"/>
        </w:rPr>
        <w:t>一般公共预算安排的“三公”经费支出预算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r>
        <w:rPr>
          <w:rFonts w:ascii="Times New Roman" w:hAnsi="Times New Roman" w:eastAsia="仿宋_GB2312" w:cs="Times New Roman"/>
          <w:bCs/>
          <w:color w:val="000000"/>
          <w:sz w:val="32"/>
          <w:szCs w:val="32"/>
          <w:highlight w:val="none"/>
        </w:rPr>
        <w:t>。其中：</w:t>
      </w:r>
    </w:p>
    <w:p>
      <w:pPr>
        <w:pStyle w:val="4"/>
        <w:numPr>
          <w:ilvl w:val="0"/>
          <w:numId w:val="1"/>
        </w:numPr>
        <w:spacing w:before="0" w:beforeAutospacing="0" w:after="0" w:afterAutospacing="0" w:line="540" w:lineRule="exact"/>
        <w:ind w:firstLine="640" w:firstLineChars="200"/>
        <w:jc w:val="both"/>
        <w:rPr>
          <w:rFonts w:ascii="仿宋_GB2312" w:hAnsi="华文仿宋" w:eastAsia="仿宋_GB2312"/>
          <w:bCs/>
          <w:color w:val="000000"/>
          <w:sz w:val="32"/>
          <w:szCs w:val="32"/>
          <w:highlight w:val="none"/>
        </w:rPr>
      </w:pPr>
      <w:r>
        <w:rPr>
          <w:rFonts w:ascii="Times New Roman" w:hAnsi="Times New Roman" w:eastAsia="仿宋_GB2312" w:cs="Times New Roman"/>
          <w:bCs/>
          <w:color w:val="000000"/>
          <w:sz w:val="32"/>
          <w:szCs w:val="32"/>
          <w:highlight w:val="none"/>
        </w:rPr>
        <w:t>因公出国（境）经费2023年预算</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4"/>
        <w:numPr>
          <w:ilvl w:val="0"/>
          <w:numId w:val="1"/>
        </w:numPr>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公务接待费2023年预算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sz w:val="32"/>
          <w:szCs w:val="32"/>
          <w:highlight w:val="none"/>
        </w:rPr>
        <w:t>（三）</w:t>
      </w:r>
      <w:r>
        <w:rPr>
          <w:rFonts w:ascii="Times New Roman" w:hAnsi="Times New Roman" w:eastAsia="仿宋_GB2312" w:cs="Times New Roman"/>
          <w:bCs/>
          <w:color w:val="000000"/>
          <w:sz w:val="32"/>
          <w:szCs w:val="32"/>
          <w:highlight w:val="none"/>
        </w:rPr>
        <w:t>公务用车购置及运行维护费2023年预算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万元，同比增加</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Times New Roman" w:hAnsi="Times New Roman" w:eastAsia="仿宋_GB2312" w:cs="Times New Roman"/>
          <w:bCs/>
          <w:color w:val="000000"/>
          <w:sz w:val="32"/>
          <w:szCs w:val="32"/>
          <w:highlight w:val="none"/>
        </w:rPr>
        <w:t>其中：</w:t>
      </w:r>
    </w:p>
    <w:p>
      <w:pPr>
        <w:pStyle w:val="4"/>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1.公务用车购置费2023年预算</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4"/>
        <w:spacing w:before="0" w:beforeAutospacing="0" w:after="0" w:afterAutospacing="0" w:line="540" w:lineRule="exact"/>
        <w:ind w:firstLine="640" w:firstLineChars="200"/>
        <w:jc w:val="both"/>
        <w:rPr>
          <w:rFonts w:ascii="Times New Roman" w:hAnsi="Times New Roman" w:eastAsia="仿宋_GB2312" w:cs="Times New Roman"/>
          <w:b/>
          <w:kern w:val="2"/>
          <w:sz w:val="32"/>
          <w:szCs w:val="32"/>
        </w:rPr>
      </w:pPr>
      <w:r>
        <w:rPr>
          <w:rFonts w:ascii="Times New Roman" w:hAnsi="Times New Roman" w:eastAsia="仿宋_GB2312" w:cs="Times New Roman"/>
          <w:bCs/>
          <w:color w:val="000000"/>
          <w:sz w:val="32"/>
          <w:szCs w:val="32"/>
          <w:highlight w:val="none"/>
        </w:rPr>
        <w:t>2.公务用车运行维护费2023年预算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r>
        <w:rPr>
          <w:rFonts w:ascii="Times New Roman" w:hAnsi="Times New Roman" w:eastAsia="仿宋_GB2312" w:cs="Times New Roman"/>
          <w:bCs/>
          <w:color w:val="000000"/>
          <w:sz w:val="32"/>
          <w:szCs w:val="32"/>
          <w:highlight w:val="none"/>
        </w:rPr>
        <w:t>。</w:t>
      </w:r>
    </w:p>
    <w:p>
      <w:pPr>
        <w:tabs>
          <w:tab w:val="center" w:pos="4475"/>
        </w:tabs>
        <w:spacing w:line="540" w:lineRule="exact"/>
        <w:ind w:firstLine="645"/>
        <w:rPr>
          <w:rFonts w:eastAsia="黑体"/>
          <w:color w:val="auto"/>
          <w:kern w:val="0"/>
          <w:sz w:val="32"/>
          <w:szCs w:val="32"/>
          <w:highlight w:val="none"/>
        </w:rPr>
      </w:pPr>
      <w:r>
        <w:rPr>
          <w:rFonts w:eastAsia="黑体"/>
          <w:color w:val="auto"/>
          <w:kern w:val="0"/>
          <w:sz w:val="32"/>
          <w:szCs w:val="32"/>
          <w:highlight w:val="none"/>
        </w:rPr>
        <w:t>八、政府性基金预算情况说明</w:t>
      </w: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r>
        <w:rPr>
          <w:rFonts w:hint="eastAsia" w:ascii="仿宋_GB2312" w:hAnsi="华文仿宋" w:eastAsia="仿宋_GB2312" w:cs="Times New Roman"/>
          <w:color w:val="auto"/>
          <w:kern w:val="2"/>
          <w:sz w:val="32"/>
          <w:szCs w:val="32"/>
          <w:highlight w:val="none"/>
        </w:rPr>
        <w:t>202</w:t>
      </w:r>
      <w:r>
        <w:rPr>
          <w:rFonts w:hint="eastAsia" w:ascii="仿宋_GB2312" w:hAnsi="华文仿宋" w:eastAsia="仿宋_GB2312" w:cs="Times New Roman"/>
          <w:color w:val="auto"/>
          <w:kern w:val="2"/>
          <w:sz w:val="32"/>
          <w:szCs w:val="32"/>
          <w:highlight w:val="none"/>
          <w:lang w:val="en-US" w:eastAsia="zh-CN"/>
        </w:rPr>
        <w:t>3</w:t>
      </w:r>
      <w:r>
        <w:rPr>
          <w:rFonts w:hint="eastAsia" w:ascii="仿宋_GB2312" w:hAnsi="华文仿宋" w:eastAsia="仿宋_GB2312" w:cs="Times New Roman"/>
          <w:color w:val="auto"/>
          <w:kern w:val="2"/>
          <w:sz w:val="32"/>
          <w:szCs w:val="32"/>
          <w:highlight w:val="none"/>
        </w:rPr>
        <w:t>年本部门无政府性基金预算支出安排</w:t>
      </w:r>
      <w:r>
        <w:rPr>
          <w:rFonts w:hint="eastAsia" w:ascii="仿宋_GB2312" w:hAnsi="华文仿宋" w:eastAsia="仿宋_GB2312"/>
          <w:bCs/>
          <w:color w:val="auto"/>
          <w:sz w:val="32"/>
          <w:szCs w:val="32"/>
          <w:highlight w:val="none"/>
        </w:rPr>
        <w:t>。</w:t>
      </w: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p>
    <w:p>
      <w:pPr>
        <w:tabs>
          <w:tab w:val="center" w:pos="4475"/>
        </w:tabs>
        <w:spacing w:line="540" w:lineRule="exact"/>
        <w:ind w:firstLine="640" w:firstLineChars="200"/>
        <w:rPr>
          <w:rFonts w:eastAsia="黑体"/>
          <w:color w:val="auto"/>
          <w:kern w:val="0"/>
          <w:sz w:val="32"/>
          <w:szCs w:val="32"/>
          <w:highlight w:val="none"/>
        </w:rPr>
      </w:pPr>
      <w:r>
        <w:rPr>
          <w:rFonts w:eastAsia="黑体"/>
          <w:color w:val="auto"/>
          <w:kern w:val="0"/>
          <w:sz w:val="32"/>
          <w:szCs w:val="32"/>
          <w:highlight w:val="none"/>
        </w:rPr>
        <w:t>九、国有资本经营预算情况说明</w:t>
      </w: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r>
        <w:rPr>
          <w:rFonts w:hint="eastAsia" w:ascii="仿宋_GB2312" w:hAnsi="华文仿宋" w:eastAsia="仿宋_GB2312" w:cs="Times New Roman"/>
          <w:color w:val="auto"/>
          <w:kern w:val="2"/>
          <w:sz w:val="32"/>
          <w:szCs w:val="32"/>
          <w:highlight w:val="none"/>
        </w:rPr>
        <w:t>202</w:t>
      </w:r>
      <w:r>
        <w:rPr>
          <w:rFonts w:hint="eastAsia" w:ascii="仿宋_GB2312" w:hAnsi="华文仿宋" w:eastAsia="仿宋_GB2312" w:cs="Times New Roman"/>
          <w:color w:val="auto"/>
          <w:kern w:val="2"/>
          <w:sz w:val="32"/>
          <w:szCs w:val="32"/>
          <w:highlight w:val="none"/>
          <w:lang w:val="en-US" w:eastAsia="zh-CN"/>
        </w:rPr>
        <w:t>3</w:t>
      </w:r>
      <w:r>
        <w:rPr>
          <w:rFonts w:hint="eastAsia" w:ascii="仿宋_GB2312" w:hAnsi="华文仿宋" w:eastAsia="仿宋_GB2312" w:cs="Times New Roman"/>
          <w:color w:val="auto"/>
          <w:kern w:val="2"/>
          <w:sz w:val="32"/>
          <w:szCs w:val="32"/>
          <w:highlight w:val="none"/>
        </w:rPr>
        <w:t>年本部门无国有资本经营预算支出安排</w:t>
      </w:r>
      <w:r>
        <w:rPr>
          <w:rFonts w:hint="eastAsia" w:ascii="仿宋_GB2312" w:hAnsi="华文仿宋" w:eastAsia="仿宋_GB2312"/>
          <w:bCs/>
          <w:color w:val="auto"/>
          <w:sz w:val="32"/>
          <w:szCs w:val="32"/>
          <w:highlight w:val="none"/>
        </w:rPr>
        <w:t>。</w:t>
      </w:r>
    </w:p>
    <w:p>
      <w:pPr>
        <w:spacing w:line="540" w:lineRule="exact"/>
        <w:rPr>
          <w:rFonts w:eastAsia="仿宋_GB2312"/>
          <w:color w:val="auto"/>
          <w:sz w:val="32"/>
          <w:szCs w:val="32"/>
          <w:highlight w:val="none"/>
        </w:rPr>
      </w:pP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r>
        <w:rPr>
          <w:rFonts w:eastAsia="黑体"/>
          <w:color w:val="000000"/>
          <w:kern w:val="0"/>
          <w:sz w:val="32"/>
          <w:szCs w:val="32"/>
        </w:rPr>
        <w:t>十、政府采购预算情况说明</w:t>
      </w:r>
    </w:p>
    <w:p>
      <w:pPr>
        <w:pStyle w:val="4"/>
        <w:spacing w:before="0" w:beforeAutospacing="0" w:after="0" w:afterAutospacing="0" w:line="560" w:lineRule="exact"/>
        <w:ind w:firstLine="640" w:firstLineChars="200"/>
        <w:jc w:val="both"/>
        <w:rPr>
          <w:rFonts w:hint="eastAsia" w:ascii="仿宋_GB2312" w:hAnsi="华文仿宋" w:eastAsia="仿宋_GB2312"/>
          <w:bCs/>
          <w:color w:val="auto"/>
          <w:sz w:val="32"/>
          <w:szCs w:val="32"/>
          <w:highlight w:val="none"/>
        </w:rPr>
      </w:pPr>
      <w:r>
        <w:rPr>
          <w:rFonts w:hint="eastAsia" w:ascii="仿宋_GB2312" w:hAnsi="华文仿宋" w:eastAsia="仿宋_GB2312" w:cs="Times New Roman"/>
          <w:color w:val="auto"/>
          <w:kern w:val="2"/>
          <w:sz w:val="32"/>
          <w:szCs w:val="32"/>
          <w:highlight w:val="none"/>
        </w:rPr>
        <w:t>202</w:t>
      </w:r>
      <w:r>
        <w:rPr>
          <w:rFonts w:hint="eastAsia" w:ascii="仿宋_GB2312" w:hAnsi="华文仿宋" w:eastAsia="仿宋_GB2312" w:cs="Times New Roman"/>
          <w:color w:val="auto"/>
          <w:kern w:val="2"/>
          <w:sz w:val="32"/>
          <w:szCs w:val="32"/>
          <w:highlight w:val="none"/>
          <w:lang w:val="en-US" w:eastAsia="zh-CN"/>
        </w:rPr>
        <w:t>3</w:t>
      </w:r>
      <w:r>
        <w:rPr>
          <w:rFonts w:hint="eastAsia" w:ascii="仿宋_GB2312" w:hAnsi="华文仿宋" w:eastAsia="仿宋_GB2312" w:cs="Times New Roman"/>
          <w:color w:val="auto"/>
          <w:kern w:val="2"/>
          <w:sz w:val="32"/>
          <w:szCs w:val="32"/>
          <w:highlight w:val="none"/>
        </w:rPr>
        <w:t>年我单位无政府采购预算支出安排</w:t>
      </w:r>
      <w:r>
        <w:rPr>
          <w:rFonts w:hint="eastAsia" w:ascii="仿宋_GB2312" w:hAnsi="华文仿宋" w:eastAsia="仿宋_GB2312"/>
          <w:bCs/>
          <w:color w:val="auto"/>
          <w:sz w:val="32"/>
          <w:szCs w:val="32"/>
          <w:highlight w:val="none"/>
        </w:rPr>
        <w:t>。</w:t>
      </w:r>
    </w:p>
    <w:p>
      <w:pPr>
        <w:spacing w:line="540" w:lineRule="exact"/>
        <w:rPr>
          <w:rFonts w:eastAsia="仿宋_GB2312"/>
          <w:color w:val="auto"/>
          <w:sz w:val="32"/>
          <w:szCs w:val="32"/>
          <w:highlight w:val="none"/>
        </w:rPr>
      </w:pP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rPr>
      </w:pPr>
      <w:r>
        <w:rPr>
          <w:rFonts w:hint="eastAsia" w:ascii="仿宋_GB2312" w:hAnsi="华文仿宋" w:eastAsia="仿宋_GB2312" w:cs="Times New Roman"/>
          <w:color w:val="auto"/>
          <w:kern w:val="2"/>
          <w:sz w:val="32"/>
          <w:szCs w:val="32"/>
          <w:highlight w:val="none"/>
        </w:rPr>
        <w:t>202</w:t>
      </w:r>
      <w:r>
        <w:rPr>
          <w:rFonts w:hint="eastAsia" w:ascii="仿宋_GB2312" w:hAnsi="华文仿宋" w:eastAsia="仿宋_GB2312" w:cs="Times New Roman"/>
          <w:color w:val="auto"/>
          <w:kern w:val="2"/>
          <w:sz w:val="32"/>
          <w:szCs w:val="32"/>
          <w:highlight w:val="none"/>
          <w:lang w:val="en-US" w:eastAsia="zh-CN"/>
        </w:rPr>
        <w:t>3</w:t>
      </w:r>
      <w:r>
        <w:rPr>
          <w:rFonts w:hint="eastAsia" w:ascii="仿宋_GB2312" w:hAnsi="华文仿宋" w:eastAsia="仿宋_GB2312" w:cs="Times New Roman"/>
          <w:color w:val="auto"/>
          <w:kern w:val="2"/>
          <w:sz w:val="32"/>
          <w:szCs w:val="32"/>
          <w:highlight w:val="none"/>
        </w:rPr>
        <w:t>年我单位无政府购买服务预算支出安排。</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rPr>
      </w:pPr>
    </w:p>
    <w:p>
      <w:pPr>
        <w:pStyle w:val="4"/>
        <w:numPr>
          <w:ilvl w:val="0"/>
          <w:numId w:val="2"/>
        </w:numPr>
        <w:spacing w:before="0" w:beforeAutospacing="0" w:after="0" w:afterAutospacing="0" w:line="560" w:lineRule="exact"/>
        <w:ind w:firstLine="640" w:firstLineChars="200"/>
        <w:jc w:val="both"/>
        <w:rPr>
          <w:rFonts w:hint="eastAsia" w:eastAsia="黑体"/>
          <w:color w:val="000000"/>
          <w:kern w:val="0"/>
          <w:sz w:val="32"/>
          <w:szCs w:val="32"/>
        </w:rPr>
      </w:pPr>
      <w:r>
        <w:rPr>
          <w:rFonts w:hint="eastAsia" w:eastAsia="黑体"/>
          <w:color w:val="000000"/>
          <w:kern w:val="0"/>
          <w:sz w:val="32"/>
          <w:szCs w:val="32"/>
        </w:rPr>
        <w:t>重点项目支出绩效目标情况说明</w:t>
      </w:r>
    </w:p>
    <w:p>
      <w:pPr>
        <w:pStyle w:val="4"/>
        <w:spacing w:before="0" w:beforeAutospacing="0" w:after="0" w:afterAutospacing="0" w:line="560" w:lineRule="exact"/>
        <w:ind w:firstLine="640" w:firstLineChars="200"/>
        <w:jc w:val="both"/>
        <w:rPr>
          <w:rFonts w:hint="eastAsia" w:ascii="仿宋_GB2312" w:hAnsi="华文仿宋" w:eastAsia="仿宋_GB2312" w:cs="Times New Roman"/>
          <w:color w:val="auto"/>
          <w:kern w:val="2"/>
          <w:sz w:val="32"/>
          <w:szCs w:val="32"/>
          <w:highlight w:val="none"/>
          <w:lang w:val="en-US" w:eastAsia="zh-CN"/>
        </w:rPr>
      </w:pPr>
      <w:r>
        <w:rPr>
          <w:rFonts w:hint="eastAsia" w:ascii="仿宋_GB2312" w:hAnsi="华文仿宋" w:eastAsia="仿宋_GB2312" w:cs="Times New Roman"/>
          <w:color w:val="auto"/>
          <w:kern w:val="2"/>
          <w:sz w:val="32"/>
          <w:szCs w:val="32"/>
          <w:highlight w:val="none"/>
        </w:rPr>
        <w:t>2023 年我单位无符合要求公开的绩效目标</w:t>
      </w:r>
      <w:r>
        <w:rPr>
          <w:rFonts w:hint="eastAsia" w:ascii="仿宋_GB2312" w:hAnsi="华文仿宋" w:eastAsia="仿宋_GB2312" w:cs="Times New Roman"/>
          <w:color w:val="auto"/>
          <w:kern w:val="2"/>
          <w:sz w:val="32"/>
          <w:szCs w:val="32"/>
          <w:highlight w:val="none"/>
          <w:lang w:eastAsia="zh-CN"/>
        </w:rPr>
        <w:t>。</w:t>
      </w:r>
    </w:p>
    <w:p>
      <w:pPr>
        <w:pStyle w:val="4"/>
        <w:numPr>
          <w:ilvl w:val="0"/>
          <w:numId w:val="0"/>
        </w:numPr>
        <w:spacing w:before="0" w:beforeAutospacing="0" w:after="0" w:afterAutospacing="0" w:line="560" w:lineRule="exact"/>
        <w:jc w:val="both"/>
        <w:rPr>
          <w:rFonts w:hint="eastAsia" w:eastAsia="黑体"/>
          <w:color w:val="000000"/>
          <w:kern w:val="0"/>
          <w:sz w:val="32"/>
          <w:szCs w:val="32"/>
        </w:rPr>
      </w:pPr>
    </w:p>
    <w:p>
      <w:pPr>
        <w:pStyle w:val="4"/>
        <w:numPr>
          <w:ilvl w:val="0"/>
          <w:numId w:val="0"/>
        </w:numPr>
        <w:spacing w:before="0" w:beforeAutospacing="0" w:after="0" w:afterAutospacing="0" w:line="560" w:lineRule="exact"/>
        <w:ind w:firstLine="640" w:firstLineChars="200"/>
        <w:jc w:val="both"/>
        <w:rPr>
          <w:rFonts w:hint="eastAsia"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2023年单位预算其他重要事项情况说明</w:t>
      </w:r>
    </w:p>
    <w:p>
      <w:pPr>
        <w:numPr>
          <w:ilvl w:val="0"/>
          <w:numId w:val="3"/>
        </w:numPr>
        <w:tabs>
          <w:tab w:val="center" w:pos="4475"/>
        </w:tabs>
        <w:spacing w:line="540" w:lineRule="exact"/>
        <w:ind w:firstLine="645"/>
        <w:rPr>
          <w:rFonts w:eastAsia="楷体_GB2312"/>
          <w:b/>
          <w:color w:val="000000"/>
          <w:sz w:val="32"/>
          <w:szCs w:val="32"/>
        </w:rPr>
      </w:pPr>
      <w:r>
        <w:rPr>
          <w:rFonts w:hint="eastAsia" w:eastAsia="楷体_GB2312"/>
          <w:b/>
          <w:color w:val="000000"/>
          <w:sz w:val="32"/>
          <w:szCs w:val="32"/>
          <w:lang w:eastAsia="zh-CN"/>
        </w:rPr>
        <w:t>事业</w:t>
      </w:r>
      <w:r>
        <w:rPr>
          <w:rFonts w:eastAsia="楷体_GB2312"/>
          <w:b/>
          <w:color w:val="000000"/>
          <w:sz w:val="32"/>
          <w:szCs w:val="32"/>
        </w:rPr>
        <w:t>运行经费安排情况说明</w:t>
      </w:r>
    </w:p>
    <w:p>
      <w:pPr>
        <w:pStyle w:val="4"/>
        <w:spacing w:before="0" w:beforeAutospacing="0" w:after="0" w:afterAutospacing="0" w:line="560" w:lineRule="exact"/>
        <w:ind w:firstLine="643" w:firstLineChars="200"/>
        <w:jc w:val="both"/>
        <w:rPr>
          <w:rFonts w:hint="eastAsia" w:ascii="仿宋_GB2312" w:hAnsi="华文仿宋" w:eastAsia="仿宋_GB2312" w:cs="Times New Roman"/>
          <w:color w:val="auto"/>
          <w:kern w:val="2"/>
          <w:sz w:val="32"/>
          <w:szCs w:val="32"/>
          <w:highlight w:val="none"/>
          <w:lang w:val="en-US" w:eastAsia="zh-CN"/>
        </w:rPr>
      </w:pPr>
      <w:r>
        <w:rPr>
          <w:rFonts w:hint="eastAsia" w:eastAsia="楷体_GB2312"/>
          <w:b/>
          <w:color w:val="000000"/>
          <w:sz w:val="32"/>
          <w:szCs w:val="32"/>
          <w:lang w:val="en-US" w:eastAsia="zh-CN"/>
        </w:rPr>
        <w:t xml:space="preserve">   </w:t>
      </w:r>
      <w:r>
        <w:rPr>
          <w:rFonts w:hint="eastAsia" w:ascii="仿宋_GB2312" w:hAnsi="华文仿宋" w:eastAsia="仿宋_GB2312" w:cs="Times New Roman"/>
          <w:color w:val="auto"/>
          <w:kern w:val="2"/>
          <w:sz w:val="32"/>
          <w:szCs w:val="32"/>
          <w:highlight w:val="none"/>
        </w:rPr>
        <w:t>2023 年我单位无</w:t>
      </w:r>
      <w:r>
        <w:rPr>
          <w:rFonts w:hint="eastAsia" w:ascii="仿宋_GB2312" w:hAnsi="华文仿宋" w:eastAsia="仿宋_GB2312" w:cs="Times New Roman"/>
          <w:color w:val="auto"/>
          <w:kern w:val="2"/>
          <w:sz w:val="32"/>
          <w:szCs w:val="32"/>
          <w:highlight w:val="none"/>
          <w:lang w:eastAsia="zh-CN"/>
        </w:rPr>
        <w:t>事业</w:t>
      </w:r>
      <w:r>
        <w:rPr>
          <w:rFonts w:hint="eastAsia" w:ascii="仿宋_GB2312" w:hAnsi="华文仿宋" w:eastAsia="仿宋_GB2312" w:cs="Times New Roman"/>
          <w:color w:val="auto"/>
          <w:kern w:val="2"/>
          <w:sz w:val="32"/>
          <w:szCs w:val="32"/>
          <w:highlight w:val="none"/>
        </w:rPr>
        <w:t>运行经费</w:t>
      </w:r>
      <w:r>
        <w:rPr>
          <w:rFonts w:hint="eastAsia" w:ascii="仿宋_GB2312" w:hAnsi="华文仿宋" w:eastAsia="仿宋_GB2312" w:cs="Times New Roman"/>
          <w:color w:val="auto"/>
          <w:kern w:val="2"/>
          <w:sz w:val="32"/>
          <w:szCs w:val="32"/>
          <w:highlight w:val="none"/>
          <w:lang w:eastAsia="zh-CN"/>
        </w:rPr>
        <w:t>安排。</w:t>
      </w:r>
    </w:p>
    <w:p>
      <w:pPr>
        <w:numPr>
          <w:ilvl w:val="0"/>
          <w:numId w:val="0"/>
        </w:numPr>
        <w:tabs>
          <w:tab w:val="center" w:pos="4475"/>
        </w:tabs>
        <w:spacing w:line="540" w:lineRule="exact"/>
        <w:rPr>
          <w:rFonts w:hint="default" w:eastAsia="楷体_GB2312"/>
          <w:b/>
          <w:color w:val="000000"/>
          <w:sz w:val="32"/>
          <w:szCs w:val="32"/>
          <w:lang w:val="en-US" w:eastAsia="zh-CN"/>
        </w:rPr>
      </w:pPr>
    </w:p>
    <w:p>
      <w:pPr>
        <w:pStyle w:val="4"/>
        <w:numPr>
          <w:ilvl w:val="0"/>
          <w:numId w:val="3"/>
        </w:numPr>
        <w:spacing w:before="0" w:beforeAutospacing="0" w:after="0" w:afterAutospacing="0" w:line="560" w:lineRule="exact"/>
        <w:ind w:left="0" w:leftChars="0" w:firstLine="645" w:firstLineChars="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国有资产占用情况说明</w:t>
      </w:r>
    </w:p>
    <w:p>
      <w:pPr>
        <w:pStyle w:val="4"/>
        <w:widowControl/>
        <w:numPr>
          <w:ilvl w:val="0"/>
          <w:numId w:val="0"/>
        </w:numPr>
        <w:spacing w:before="0" w:beforeAutospacing="0" w:after="0" w:afterAutospacing="0" w:line="560" w:lineRule="exact"/>
        <w:ind w:firstLine="960" w:firstLineChars="300"/>
        <w:jc w:val="both"/>
        <w:rPr>
          <w:rFonts w:hint="eastAsia" w:ascii="Times New Roman" w:hAnsi="Times New Roman" w:eastAsia="楷体_GB2312" w:cs="Times New Roman"/>
          <w:b/>
          <w:color w:val="000000"/>
          <w:sz w:val="32"/>
          <w:szCs w:val="32"/>
        </w:rPr>
      </w:pPr>
      <w:r>
        <w:rPr>
          <w:rFonts w:hint="eastAsia" w:ascii="仿宋_GB2312" w:hAnsi="华文仿宋" w:eastAsia="仿宋_GB2312" w:cs="Times New Roman"/>
          <w:color w:val="auto"/>
          <w:kern w:val="2"/>
          <w:sz w:val="32"/>
          <w:szCs w:val="32"/>
          <w:highlight w:val="none"/>
        </w:rPr>
        <w:t>2023 年我单位无国有资产占用</w:t>
      </w:r>
      <w:r>
        <w:rPr>
          <w:rFonts w:hint="eastAsia" w:ascii="仿宋_GB2312" w:hAnsi="华文仿宋" w:eastAsia="仿宋_GB2312" w:cs="Times New Roman"/>
          <w:color w:val="auto"/>
          <w:kern w:val="2"/>
          <w:sz w:val="32"/>
          <w:szCs w:val="32"/>
          <w:highlight w:val="none"/>
          <w:lang w:eastAsia="zh-CN"/>
        </w:rPr>
        <w:t>。</w:t>
      </w:r>
    </w:p>
    <w:p>
      <w:pPr>
        <w:spacing w:line="540" w:lineRule="exact"/>
        <w:rPr>
          <w:rFonts w:eastAsia="仿宋_GB2312"/>
          <w:color w:val="auto"/>
          <w:sz w:val="32"/>
          <w:szCs w:val="32"/>
          <w:highlight w:val="none"/>
        </w:rPr>
      </w:pPr>
    </w:p>
    <w:p>
      <w:pPr>
        <w:adjustRightInd w:val="0"/>
        <w:snapToGrid w:val="0"/>
        <w:spacing w:line="540" w:lineRule="exact"/>
        <w:ind w:right="-218" w:rightChars="-104"/>
        <w:jc w:val="center"/>
        <w:rPr>
          <w:rFonts w:eastAsia="黑体"/>
          <w:color w:val="auto"/>
          <w:kern w:val="0"/>
          <w:sz w:val="32"/>
          <w:szCs w:val="32"/>
          <w:highlight w:val="none"/>
        </w:rPr>
      </w:pPr>
      <w:r>
        <w:rPr>
          <w:rFonts w:eastAsia="黑体"/>
          <w:color w:val="auto"/>
          <w:kern w:val="0"/>
          <w:sz w:val="32"/>
          <w:szCs w:val="32"/>
          <w:highlight w:val="none"/>
        </w:rPr>
        <w:t>第三部分：</w:t>
      </w:r>
      <w:r>
        <w:rPr>
          <w:rFonts w:hint="eastAsia" w:eastAsia="黑体"/>
          <w:color w:val="auto"/>
          <w:kern w:val="0"/>
          <w:sz w:val="32"/>
          <w:szCs w:val="32"/>
          <w:highlight w:val="none"/>
          <w:lang w:eastAsia="zh-CN"/>
        </w:rPr>
        <w:t>柳州市第十三中学</w:t>
      </w:r>
      <w:r>
        <w:rPr>
          <w:rFonts w:eastAsia="黑体"/>
          <w:color w:val="auto"/>
          <w:kern w:val="0"/>
          <w:sz w:val="32"/>
          <w:szCs w:val="32"/>
          <w:highlight w:val="none"/>
        </w:rPr>
        <w:t>2023年单位预算报表</w:t>
      </w:r>
    </w:p>
    <w:p>
      <w:pPr>
        <w:pStyle w:val="4"/>
        <w:spacing w:before="0" w:beforeAutospacing="0" w:after="0" w:afterAutospacing="0" w:line="540" w:lineRule="exact"/>
        <w:jc w:val="center"/>
        <w:rPr>
          <w:rFonts w:ascii="Times New Roman" w:hAnsi="Times New Roman" w:eastAsia="仿宋_GB2312" w:cs="Times New Roman"/>
          <w:b/>
          <w:bCs/>
          <w:color w:val="auto"/>
          <w:sz w:val="32"/>
          <w:szCs w:val="32"/>
          <w:highlight w:val="none"/>
        </w:rPr>
      </w:pP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一、单位收支总体情况表（表1）</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二、单位收入总体情况表（表2）</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三、单位支出总体情况表（表3）</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四、财政拨款收支总体情况表（表4）</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五、一般公共预算支出情况表（表5）</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六、一般公共预算基本支出情况表（表6）</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七、财政拨款三公两费支出情况表（表7）</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八、政府性基金预算支出情况表（表8）</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九、国有资本经营预算支出情况表（表9）</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十、政府采购预算表（表10）</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十一、政府购买服务预算表（表11）</w:t>
      </w:r>
    </w:p>
    <w:p>
      <w:pPr>
        <w:pStyle w:val="4"/>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十二、</w:t>
      </w:r>
      <w:r>
        <w:rPr>
          <w:rFonts w:hint="eastAsia" w:eastAsia="仿宋_GB2312"/>
          <w:bCs/>
          <w:color w:val="000000"/>
          <w:sz w:val="32"/>
          <w:szCs w:val="32"/>
          <w:lang w:eastAsia="zh-CN"/>
        </w:rPr>
        <w:t>柳州市第十三中学</w:t>
      </w:r>
      <w:r>
        <w:rPr>
          <w:rFonts w:eastAsia="仿宋_GB2312"/>
          <w:bCs/>
          <w:color w:val="000000"/>
          <w:sz w:val="32"/>
          <w:szCs w:val="32"/>
        </w:rPr>
        <w:t>2023</w:t>
      </w:r>
      <w:r>
        <w:rPr>
          <w:rFonts w:ascii="Times New Roman" w:eastAsia="仿宋_GB2312"/>
          <w:bCs/>
          <w:color w:val="000000"/>
          <w:sz w:val="32"/>
          <w:szCs w:val="32"/>
        </w:rPr>
        <w:t>年</w:t>
      </w:r>
      <w:r>
        <w:rPr>
          <w:rFonts w:hint="eastAsia" w:ascii="Times New Roman" w:eastAsia="仿宋_GB2312"/>
          <w:bCs/>
          <w:color w:val="000000"/>
          <w:sz w:val="32"/>
          <w:szCs w:val="32"/>
          <w:lang w:eastAsia="zh-CN"/>
        </w:rPr>
        <w:t>无</w:t>
      </w:r>
      <w:r>
        <w:rPr>
          <w:rFonts w:ascii="Times New Roman" w:eastAsia="仿宋_GB2312"/>
          <w:bCs/>
          <w:color w:val="000000"/>
          <w:sz w:val="32"/>
          <w:szCs w:val="32"/>
        </w:rPr>
        <w:t>项目支出绩效目标申报表</w:t>
      </w:r>
    </w:p>
    <w:p>
      <w:pPr>
        <w:pStyle w:val="4"/>
        <w:spacing w:before="0" w:beforeAutospacing="0" w:after="0" w:afterAutospacing="0" w:line="540" w:lineRule="exact"/>
        <w:ind w:firstLine="640" w:firstLineChars="200"/>
        <w:rPr>
          <w:rFonts w:ascii="Times New Roman" w:hAnsi="Times New Roman" w:eastAsia="仿宋_GB2312" w:cs="Times New Roman"/>
          <w:bCs/>
          <w:color w:val="auto"/>
          <w:sz w:val="32"/>
          <w:szCs w:val="32"/>
          <w:highlight w:val="none"/>
        </w:rPr>
      </w:pPr>
    </w:p>
    <w:p>
      <w:pPr>
        <w:pStyle w:val="4"/>
        <w:spacing w:before="0" w:beforeAutospacing="0" w:after="0" w:afterAutospacing="0" w:line="540" w:lineRule="exact"/>
        <w:jc w:val="cente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上述报表详见附件。</w:t>
      </w:r>
    </w:p>
    <w:p>
      <w:pPr>
        <w:pStyle w:val="4"/>
        <w:spacing w:before="0" w:beforeAutospacing="0" w:after="0" w:afterAutospacing="0" w:line="540" w:lineRule="exact"/>
        <w:jc w:val="center"/>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fldChar w:fldCharType="begin"/>
      </w:r>
      <w:r>
        <w:rPr>
          <w:rFonts w:ascii="Times New Roman" w:hAnsi="Times New Roman" w:eastAsia="仿宋_GB2312" w:cs="Times New Roman"/>
          <w:b/>
          <w:bCs/>
          <w:color w:val="auto"/>
          <w:sz w:val="32"/>
          <w:szCs w:val="32"/>
          <w:highlight w:val="none"/>
        </w:rPr>
        <w:instrText xml:space="preserve"> HYPERLINK "1.8.1十三中部门预算公开表_2023-02-16.xls" </w:instrText>
      </w:r>
      <w:r>
        <w:rPr>
          <w:rFonts w:ascii="Times New Roman" w:hAnsi="Times New Roman" w:eastAsia="仿宋_GB2312" w:cs="Times New Roman"/>
          <w:b/>
          <w:bCs/>
          <w:color w:val="auto"/>
          <w:sz w:val="32"/>
          <w:szCs w:val="32"/>
          <w:highlight w:val="none"/>
        </w:rPr>
        <w:fldChar w:fldCharType="separate"/>
      </w:r>
      <w:r>
        <w:rPr>
          <w:rStyle w:val="9"/>
          <w:rFonts w:ascii="Times New Roman" w:hAnsi="Times New Roman" w:eastAsia="仿宋_GB2312" w:cs="Times New Roman"/>
          <w:b/>
          <w:bCs/>
          <w:color w:val="auto"/>
          <w:sz w:val="32"/>
          <w:szCs w:val="32"/>
          <w:highlight w:val="none"/>
        </w:rPr>
        <w:t>1.8.1十三中部门预算</w:t>
      </w:r>
      <w:bookmarkStart w:id="0" w:name="_GoBack"/>
      <w:bookmarkEnd w:id="0"/>
      <w:r>
        <w:rPr>
          <w:rStyle w:val="9"/>
          <w:rFonts w:ascii="Times New Roman" w:hAnsi="Times New Roman" w:eastAsia="仿宋_GB2312" w:cs="Times New Roman"/>
          <w:b/>
          <w:bCs/>
          <w:color w:val="auto"/>
          <w:sz w:val="32"/>
          <w:szCs w:val="32"/>
          <w:highlight w:val="none"/>
        </w:rPr>
        <w:t>公开表_2023-02-16.xls</w:t>
      </w:r>
      <w:r>
        <w:rPr>
          <w:rFonts w:ascii="Times New Roman" w:hAnsi="Times New Roman" w:eastAsia="仿宋_GB2312" w:cs="Times New Roman"/>
          <w:b/>
          <w:bCs/>
          <w:color w:val="auto"/>
          <w:sz w:val="32"/>
          <w:szCs w:val="32"/>
          <w:highlight w:val="none"/>
        </w:rPr>
        <w:fldChar w:fldCharType="end"/>
      </w:r>
    </w:p>
    <w:p>
      <w:pPr>
        <w:adjustRightInd w:val="0"/>
        <w:snapToGrid w:val="0"/>
        <w:spacing w:line="540" w:lineRule="exact"/>
        <w:ind w:right="-218" w:rightChars="-104"/>
        <w:rPr>
          <w:rFonts w:eastAsia="仿宋_GB2312"/>
          <w:color w:val="auto"/>
          <w:sz w:val="32"/>
          <w:szCs w:val="32"/>
          <w:highlight w:val="none"/>
        </w:rPr>
      </w:pPr>
    </w:p>
    <w:p>
      <w:pPr>
        <w:adjustRightInd w:val="0"/>
        <w:snapToGrid w:val="0"/>
        <w:spacing w:line="540" w:lineRule="exact"/>
        <w:ind w:right="-218" w:rightChars="-104"/>
        <w:rPr>
          <w:rFonts w:eastAsia="仿宋_GB2312"/>
          <w:b/>
          <w:bCs/>
          <w:color w:val="auto"/>
          <w:sz w:val="32"/>
          <w:szCs w:val="32"/>
          <w:highlight w:val="none"/>
        </w:rPr>
      </w:pPr>
    </w:p>
    <w:p>
      <w:pPr>
        <w:adjustRightInd w:val="0"/>
        <w:snapToGrid w:val="0"/>
        <w:spacing w:line="540" w:lineRule="exact"/>
        <w:ind w:right="-218" w:rightChars="-104"/>
        <w:rPr>
          <w:rFonts w:eastAsia="仿宋_GB2312"/>
          <w:b/>
          <w:bCs/>
          <w:color w:val="auto"/>
          <w:sz w:val="32"/>
          <w:szCs w:val="32"/>
          <w:highlight w:val="none"/>
        </w:rPr>
      </w:pPr>
    </w:p>
    <w:p>
      <w:pPr>
        <w:adjustRightInd w:val="0"/>
        <w:snapToGrid w:val="0"/>
        <w:spacing w:line="540" w:lineRule="exact"/>
        <w:ind w:right="-218" w:rightChars="-104"/>
        <w:jc w:val="center"/>
        <w:rPr>
          <w:rFonts w:eastAsia="黑体"/>
          <w:color w:val="auto"/>
          <w:kern w:val="0"/>
          <w:sz w:val="32"/>
          <w:szCs w:val="32"/>
          <w:highlight w:val="none"/>
        </w:rPr>
      </w:pPr>
      <w:r>
        <w:rPr>
          <w:rFonts w:eastAsia="黑体"/>
          <w:color w:val="auto"/>
          <w:kern w:val="0"/>
          <w:sz w:val="32"/>
          <w:szCs w:val="32"/>
          <w:highlight w:val="none"/>
        </w:rPr>
        <w:t>第四部分：名词解释</w:t>
      </w:r>
    </w:p>
    <w:p>
      <w:pPr>
        <w:spacing w:line="540" w:lineRule="exact"/>
        <w:rPr>
          <w:rFonts w:eastAsia="仿宋_GB2312"/>
          <w:b/>
          <w:bCs/>
          <w:color w:val="auto"/>
          <w:sz w:val="32"/>
          <w:szCs w:val="32"/>
          <w:highlight w:val="none"/>
        </w:rPr>
      </w:pP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一、财政拨款收入</w:t>
      </w:r>
      <w:r>
        <w:rPr>
          <w:rFonts w:eastAsia="仿宋_GB2312"/>
          <w:color w:val="auto"/>
          <w:kern w:val="0"/>
          <w:sz w:val="32"/>
          <w:szCs w:val="32"/>
          <w:highlight w:val="none"/>
        </w:rPr>
        <w:t>：指市本级财政部门当年拨付的资金。</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二、事业收入</w:t>
      </w:r>
      <w:r>
        <w:rPr>
          <w:rFonts w:eastAsia="仿宋_GB2312"/>
          <w:color w:val="auto"/>
          <w:kern w:val="0"/>
          <w:sz w:val="32"/>
          <w:szCs w:val="32"/>
          <w:highlight w:val="none"/>
        </w:rPr>
        <w:t>：指事业单位开展专业业务活动及辅助活动所取得的收入。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三、经营收入</w:t>
      </w:r>
      <w:r>
        <w:rPr>
          <w:rFonts w:eastAsia="仿宋_GB2312"/>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四、其他收入</w:t>
      </w:r>
      <w:r>
        <w:rPr>
          <w:rFonts w:eastAsia="仿宋_GB2312"/>
          <w:color w:val="auto"/>
          <w:kern w:val="0"/>
          <w:sz w:val="32"/>
          <w:szCs w:val="32"/>
          <w:highlight w:val="none"/>
        </w:rPr>
        <w:t>：指除上述“财政拨款收入”“事业收入”“经营收入”等以外的收入。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五、基本支出</w:t>
      </w:r>
      <w:r>
        <w:rPr>
          <w:rFonts w:eastAsia="仿宋_GB2312"/>
          <w:color w:val="auto"/>
          <w:kern w:val="0"/>
          <w:sz w:val="32"/>
          <w:szCs w:val="32"/>
          <w:highlight w:val="none"/>
        </w:rPr>
        <w:t>：指为保障机构正常运转、完成日常工作任务而发生的人员支出和公用支出。</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六、项目支出</w:t>
      </w:r>
      <w:r>
        <w:rPr>
          <w:rFonts w:eastAsia="仿宋_GB2312"/>
          <w:color w:val="auto"/>
          <w:kern w:val="0"/>
          <w:sz w:val="32"/>
          <w:szCs w:val="32"/>
          <w:highlight w:val="none"/>
        </w:rPr>
        <w:t>：指在基本支出之外为完成特定行政任务和事业发展目标所发生的支出。</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七、“三公”经费</w:t>
      </w:r>
      <w:r>
        <w:rPr>
          <w:rFonts w:eastAsia="仿宋_GB2312"/>
          <w:color w:val="auto"/>
          <w:kern w:val="0"/>
          <w:sz w:val="32"/>
          <w:szCs w:val="32"/>
          <w:highlight w:val="none"/>
        </w:rPr>
        <w:t>：纳入市财政预决算管理的“三公”经费，是指市</w:t>
      </w:r>
      <w:r>
        <w:rPr>
          <w:rFonts w:eastAsia="仿宋_GB2312"/>
          <w:color w:val="auto"/>
          <w:sz w:val="32"/>
          <w:szCs w:val="32"/>
          <w:highlight w:val="none"/>
        </w:rPr>
        <w:t>本级各部门用财政拨款安排的因公出国（境）费、公务用车购置及运行维护费和公务接待费。</w:t>
      </w:r>
      <w:r>
        <w:rPr>
          <w:rFonts w:eastAsia="仿宋_GB2312"/>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八、</w:t>
      </w:r>
      <w:r>
        <w:rPr>
          <w:rFonts w:hint="eastAsia" w:eastAsia="黑体"/>
          <w:color w:val="auto"/>
          <w:kern w:val="0"/>
          <w:sz w:val="32"/>
          <w:szCs w:val="32"/>
          <w:highlight w:val="none"/>
          <w:lang w:eastAsia="zh-CN"/>
        </w:rPr>
        <w:t>事业单位相关</w:t>
      </w:r>
      <w:r>
        <w:rPr>
          <w:rFonts w:eastAsia="黑体"/>
          <w:color w:val="auto"/>
          <w:kern w:val="0"/>
          <w:sz w:val="32"/>
          <w:szCs w:val="32"/>
          <w:highlight w:val="none"/>
        </w:rPr>
        <w:t>运行经费</w:t>
      </w:r>
      <w:r>
        <w:rPr>
          <w:rFonts w:eastAsia="仿宋_GB2312"/>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rPr>
          <w:rFonts w:eastAsia="仿宋_GB2312"/>
          <w:bCs/>
          <w:color w:val="auto"/>
          <w:kern w:val="0"/>
          <w:sz w:val="32"/>
          <w:szCs w:val="32"/>
          <w:highlight w:val="none"/>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BF9A0"/>
    <w:multiLevelType w:val="singleLevel"/>
    <w:tmpl w:val="A45BF9A0"/>
    <w:lvl w:ilvl="0" w:tentative="0">
      <w:start w:val="1"/>
      <w:numFmt w:val="chineseCounting"/>
      <w:suff w:val="nothing"/>
      <w:lvlText w:val="（%1）"/>
      <w:lvlJc w:val="left"/>
      <w:rPr>
        <w:rFonts w:hint="eastAsia"/>
      </w:rPr>
    </w:lvl>
  </w:abstractNum>
  <w:abstractNum w:abstractNumId="1">
    <w:nsid w:val="57421469"/>
    <w:multiLevelType w:val="singleLevel"/>
    <w:tmpl w:val="57421469"/>
    <w:lvl w:ilvl="0" w:tentative="0">
      <w:start w:val="12"/>
      <w:numFmt w:val="chineseCounting"/>
      <w:suff w:val="nothing"/>
      <w:lvlText w:val="%1、"/>
      <w:lvlJc w:val="left"/>
      <w:rPr>
        <w:rFonts w:hint="eastAsia"/>
      </w:rPr>
    </w:lvl>
  </w:abstractNum>
  <w:abstractNum w:abstractNumId="2">
    <w:nsid w:val="666718C4"/>
    <w:multiLevelType w:val="singleLevel"/>
    <w:tmpl w:val="666718C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zA4ZmNiMmUxMjdiMTY2YjFjNjJmY2IyMWIzYWQifQ=="/>
  </w:docVars>
  <w:rsids>
    <w:rsidRoot w:val="60BA7E18"/>
    <w:rsid w:val="001B4D6E"/>
    <w:rsid w:val="001D0174"/>
    <w:rsid w:val="00287C56"/>
    <w:rsid w:val="003A5F5D"/>
    <w:rsid w:val="00513432"/>
    <w:rsid w:val="005825D9"/>
    <w:rsid w:val="005965B1"/>
    <w:rsid w:val="006B2482"/>
    <w:rsid w:val="007070DB"/>
    <w:rsid w:val="007F62FE"/>
    <w:rsid w:val="00A10307"/>
    <w:rsid w:val="00A21F26"/>
    <w:rsid w:val="00DA0283"/>
    <w:rsid w:val="00F03D4B"/>
    <w:rsid w:val="00FE3710"/>
    <w:rsid w:val="039039D0"/>
    <w:rsid w:val="04D24BCF"/>
    <w:rsid w:val="06F74C5E"/>
    <w:rsid w:val="08FF7979"/>
    <w:rsid w:val="098456E1"/>
    <w:rsid w:val="0A2B3129"/>
    <w:rsid w:val="0A2E4BCD"/>
    <w:rsid w:val="0A4C2ED5"/>
    <w:rsid w:val="0BFC58B1"/>
    <w:rsid w:val="0D1535C8"/>
    <w:rsid w:val="0D327C14"/>
    <w:rsid w:val="0D3F1BCE"/>
    <w:rsid w:val="0D3F2F2A"/>
    <w:rsid w:val="0D6D3106"/>
    <w:rsid w:val="0D7657E4"/>
    <w:rsid w:val="0E7B32AB"/>
    <w:rsid w:val="0F2A37E7"/>
    <w:rsid w:val="0F7649A9"/>
    <w:rsid w:val="113E09F8"/>
    <w:rsid w:val="11833F60"/>
    <w:rsid w:val="14535FCB"/>
    <w:rsid w:val="149F5A8C"/>
    <w:rsid w:val="16DF61CE"/>
    <w:rsid w:val="189E4C90"/>
    <w:rsid w:val="19766845"/>
    <w:rsid w:val="1A2D17F3"/>
    <w:rsid w:val="1A4D5C69"/>
    <w:rsid w:val="1AA862E8"/>
    <w:rsid w:val="1AAC4608"/>
    <w:rsid w:val="1B022D71"/>
    <w:rsid w:val="1B09184B"/>
    <w:rsid w:val="1B1C651A"/>
    <w:rsid w:val="1BD645A0"/>
    <w:rsid w:val="1C6D125C"/>
    <w:rsid w:val="1C9C3851"/>
    <w:rsid w:val="1CBF6A8F"/>
    <w:rsid w:val="1F8E3C03"/>
    <w:rsid w:val="20F444C4"/>
    <w:rsid w:val="227E5E97"/>
    <w:rsid w:val="228E61C6"/>
    <w:rsid w:val="22F64AD3"/>
    <w:rsid w:val="23487E57"/>
    <w:rsid w:val="25A476FA"/>
    <w:rsid w:val="25EA7511"/>
    <w:rsid w:val="268B6757"/>
    <w:rsid w:val="26D566B6"/>
    <w:rsid w:val="27137C9D"/>
    <w:rsid w:val="27F42CC0"/>
    <w:rsid w:val="27FD0026"/>
    <w:rsid w:val="284A0B1D"/>
    <w:rsid w:val="28933567"/>
    <w:rsid w:val="292D02BB"/>
    <w:rsid w:val="292E6828"/>
    <w:rsid w:val="2987521D"/>
    <w:rsid w:val="2A222273"/>
    <w:rsid w:val="2ACA5E0E"/>
    <w:rsid w:val="2C5B33CE"/>
    <w:rsid w:val="2D154F72"/>
    <w:rsid w:val="2E373F4F"/>
    <w:rsid w:val="2E517642"/>
    <w:rsid w:val="2E9F6F67"/>
    <w:rsid w:val="2F716326"/>
    <w:rsid w:val="2FCC0262"/>
    <w:rsid w:val="31473F28"/>
    <w:rsid w:val="32BE1E14"/>
    <w:rsid w:val="33905359"/>
    <w:rsid w:val="34574D2F"/>
    <w:rsid w:val="346F0F18"/>
    <w:rsid w:val="356527AB"/>
    <w:rsid w:val="35B42E49"/>
    <w:rsid w:val="36065692"/>
    <w:rsid w:val="367138B5"/>
    <w:rsid w:val="36875C03"/>
    <w:rsid w:val="36DE2BB1"/>
    <w:rsid w:val="378435A3"/>
    <w:rsid w:val="37B040C7"/>
    <w:rsid w:val="37C47690"/>
    <w:rsid w:val="38B82626"/>
    <w:rsid w:val="38E24D2C"/>
    <w:rsid w:val="3B2722B4"/>
    <w:rsid w:val="3C201166"/>
    <w:rsid w:val="3C2A333F"/>
    <w:rsid w:val="3C3D186F"/>
    <w:rsid w:val="3DAF087A"/>
    <w:rsid w:val="3DED5EF3"/>
    <w:rsid w:val="3E2C1C58"/>
    <w:rsid w:val="3FCF51C4"/>
    <w:rsid w:val="400E2A5D"/>
    <w:rsid w:val="405C2DB9"/>
    <w:rsid w:val="41152945"/>
    <w:rsid w:val="41BC3DD1"/>
    <w:rsid w:val="427A2E0C"/>
    <w:rsid w:val="45A55DFD"/>
    <w:rsid w:val="46776394"/>
    <w:rsid w:val="46DA720E"/>
    <w:rsid w:val="46EB6390"/>
    <w:rsid w:val="476D7D01"/>
    <w:rsid w:val="47F204A3"/>
    <w:rsid w:val="481260EC"/>
    <w:rsid w:val="486277F8"/>
    <w:rsid w:val="49CB038D"/>
    <w:rsid w:val="4A1B7B71"/>
    <w:rsid w:val="4A4B4DA2"/>
    <w:rsid w:val="4AFC293E"/>
    <w:rsid w:val="4E6B1E68"/>
    <w:rsid w:val="4F8337B4"/>
    <w:rsid w:val="50604878"/>
    <w:rsid w:val="50C05F34"/>
    <w:rsid w:val="511E4DD5"/>
    <w:rsid w:val="51A111EE"/>
    <w:rsid w:val="5290330A"/>
    <w:rsid w:val="52975412"/>
    <w:rsid w:val="52B14284"/>
    <w:rsid w:val="539F3EE9"/>
    <w:rsid w:val="53EC14E0"/>
    <w:rsid w:val="54136427"/>
    <w:rsid w:val="55206F99"/>
    <w:rsid w:val="554E0F9B"/>
    <w:rsid w:val="5579192C"/>
    <w:rsid w:val="56067A4A"/>
    <w:rsid w:val="58A128B6"/>
    <w:rsid w:val="59C36591"/>
    <w:rsid w:val="59FB11F7"/>
    <w:rsid w:val="5A5B1D0A"/>
    <w:rsid w:val="5A87246F"/>
    <w:rsid w:val="5B4F71C2"/>
    <w:rsid w:val="5BF42360"/>
    <w:rsid w:val="5C1F31C0"/>
    <w:rsid w:val="5C4555C3"/>
    <w:rsid w:val="5C8E77E6"/>
    <w:rsid w:val="5C9353DB"/>
    <w:rsid w:val="5CFA244E"/>
    <w:rsid w:val="5E8B0D73"/>
    <w:rsid w:val="5FEE2226"/>
    <w:rsid w:val="60104D6B"/>
    <w:rsid w:val="60BA7E18"/>
    <w:rsid w:val="617213C4"/>
    <w:rsid w:val="62C6094E"/>
    <w:rsid w:val="63433BEC"/>
    <w:rsid w:val="634A1559"/>
    <w:rsid w:val="64417CBA"/>
    <w:rsid w:val="644C60B2"/>
    <w:rsid w:val="645C7B82"/>
    <w:rsid w:val="647D5995"/>
    <w:rsid w:val="649D42AD"/>
    <w:rsid w:val="660E4029"/>
    <w:rsid w:val="663A4543"/>
    <w:rsid w:val="67211B33"/>
    <w:rsid w:val="673170DE"/>
    <w:rsid w:val="67465D2D"/>
    <w:rsid w:val="68373019"/>
    <w:rsid w:val="69805AEF"/>
    <w:rsid w:val="6A175217"/>
    <w:rsid w:val="6A2F6AA8"/>
    <w:rsid w:val="6A5400AD"/>
    <w:rsid w:val="6A59179A"/>
    <w:rsid w:val="6B247301"/>
    <w:rsid w:val="6B41776E"/>
    <w:rsid w:val="6BFF3185"/>
    <w:rsid w:val="6E905D60"/>
    <w:rsid w:val="6F3E05A4"/>
    <w:rsid w:val="6F792599"/>
    <w:rsid w:val="70693E8F"/>
    <w:rsid w:val="71154A6E"/>
    <w:rsid w:val="715F0C85"/>
    <w:rsid w:val="72895EB2"/>
    <w:rsid w:val="730D720B"/>
    <w:rsid w:val="759A531B"/>
    <w:rsid w:val="760925C2"/>
    <w:rsid w:val="765C4CB7"/>
    <w:rsid w:val="76D353AD"/>
    <w:rsid w:val="76F65134"/>
    <w:rsid w:val="77473CB7"/>
    <w:rsid w:val="776E3379"/>
    <w:rsid w:val="77A17DA1"/>
    <w:rsid w:val="77AE49C7"/>
    <w:rsid w:val="78D30A71"/>
    <w:rsid w:val="791027EA"/>
    <w:rsid w:val="79C91E96"/>
    <w:rsid w:val="7A8258D7"/>
    <w:rsid w:val="7B2208CE"/>
    <w:rsid w:val="7C86434D"/>
    <w:rsid w:val="7DED13EA"/>
    <w:rsid w:val="7E120A37"/>
    <w:rsid w:val="7EF66C2C"/>
    <w:rsid w:val="7F853A51"/>
    <w:rsid w:val="7FC5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FollowedHyperlink"/>
    <w:basedOn w:val="6"/>
    <w:qFormat/>
    <w:uiPriority w:val="0"/>
    <w:rPr>
      <w:color w:val="800080"/>
      <w:u w:val="single"/>
    </w:rPr>
  </w:style>
  <w:style w:type="character" w:styleId="10">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2801</Words>
  <Characters>3182</Characters>
  <Lines>39</Lines>
  <Paragraphs>11</Paragraphs>
  <TotalTime>0</TotalTime>
  <ScaleCrop>false</ScaleCrop>
  <LinksUpToDate>false</LinksUpToDate>
  <CharactersWithSpaces>3190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2022-01-25T05:03:00Z</dcterms:created>
  <dc:creator>黄柳淋</dc:creator>
  <cp:lastModifiedBy>Administrator</cp:lastModifiedBy>
  <dcterms:modified xsi:type="dcterms:W3CDTF">2023-02-20T03:37:04Z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74272A23ACBE456B810BEF9DA61738D1</vt:lpwstr>
  </property>
</Properties>
</file>