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36"/>
          <w:szCs w:val="36"/>
        </w:rPr>
      </w:pPr>
      <w:bookmarkStart w:id="0" w:name="_Toc456196891"/>
      <w:r>
        <w:rPr>
          <w:rFonts w:hint="eastAsia" w:ascii="方正小标宋简体" w:hAnsi="宋体" w:eastAsia="方正小标宋简体"/>
          <w:b w:val="0"/>
          <w:sz w:val="36"/>
          <w:szCs w:val="36"/>
        </w:rPr>
        <w:t>鱼峰区城市管理行政执法局责任事项</w:t>
      </w:r>
      <w:bookmarkEnd w:id="0"/>
      <w:bookmarkStart w:id="1" w:name="_GoBack"/>
      <w:bookmarkEnd w:id="1"/>
    </w:p>
    <w:p>
      <w:pPr>
        <w:spacing w:line="500" w:lineRule="exact"/>
        <w:rPr>
          <w:rFonts w:ascii="仿宋_GB2312" w:hAnsi="仿宋_GB2312" w:eastAsia="仿宋_GB2312"/>
          <w:b/>
          <w:sz w:val="28"/>
          <w:szCs w:val="28"/>
        </w:rPr>
      </w:pPr>
      <w:r>
        <w:rPr>
          <w:rFonts w:hint="eastAsia" w:ascii="仿宋_GB2312" w:hAnsi="宋体" w:eastAsia="仿宋_GB2312" w:cs="宋体"/>
          <w:b/>
          <w:bCs/>
          <w:kern w:val="0"/>
          <w:sz w:val="28"/>
          <w:szCs w:val="28"/>
        </w:rPr>
        <w:t>一、主要职责登记</w:t>
      </w:r>
    </w:p>
    <w:tbl>
      <w:tblPr>
        <w:tblStyle w:val="5"/>
        <w:tblW w:w="14760" w:type="dxa"/>
        <w:tblInd w:w="-252" w:type="dxa"/>
        <w:tblLayout w:type="fixed"/>
        <w:tblCellMar>
          <w:top w:w="0" w:type="dxa"/>
          <w:left w:w="108" w:type="dxa"/>
          <w:bottom w:w="0" w:type="dxa"/>
          <w:right w:w="108" w:type="dxa"/>
        </w:tblCellMar>
      </w:tblPr>
      <w:tblGrid>
        <w:gridCol w:w="1080"/>
        <w:gridCol w:w="3960"/>
        <w:gridCol w:w="8020"/>
        <w:gridCol w:w="1700"/>
      </w:tblGrid>
      <w:tr>
        <w:tblPrEx>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序号</w:t>
            </w:r>
          </w:p>
        </w:tc>
        <w:tc>
          <w:tcPr>
            <w:tcW w:w="396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主要职责</w:t>
            </w:r>
          </w:p>
        </w:tc>
        <w:tc>
          <w:tcPr>
            <w:tcW w:w="80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具体工作事项</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备注</w:t>
            </w:r>
          </w:p>
        </w:tc>
      </w:tr>
      <w:tr>
        <w:tblPrEx>
          <w:tblCellMar>
            <w:top w:w="0" w:type="dxa"/>
            <w:left w:w="108" w:type="dxa"/>
            <w:bottom w:w="0" w:type="dxa"/>
            <w:right w:w="108" w:type="dxa"/>
          </w:tblCellMar>
        </w:tblPrEx>
        <w:trPr>
          <w:trHeight w:val="750" w:hRule="atLeast"/>
        </w:trPr>
        <w:tc>
          <w:tcPr>
            <w:tcW w:w="108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1</w:t>
            </w:r>
          </w:p>
        </w:tc>
        <w:tc>
          <w:tcPr>
            <w:tcW w:w="396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贯彻实施国家、自治区关于相对集中行使行政处罚权的有关法律、法规、规章和有关政策，并组织实施。掌握、分析辖区城市管理行政执法工作情况，为城区政府加强城市管理的各项决策提供重要信息和决策建议。</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1. </w:t>
            </w:r>
            <w:r>
              <w:rPr>
                <w:rFonts w:hint="eastAsia" w:ascii="仿宋_GB2312" w:hAnsi="宋体" w:eastAsia="仿宋_GB2312" w:cs="宋体"/>
                <w:kern w:val="0"/>
                <w:szCs w:val="21"/>
              </w:rPr>
              <w:t>行使市容环境卫生管理方面法律、法规、规章规定的行政处罚权，强制拆除不符合城市容貌标准、环境卫生标准的建筑物或设施的行政处罚权。</w:t>
            </w:r>
          </w:p>
        </w:tc>
        <w:tc>
          <w:tcPr>
            <w:tcW w:w="1700" w:type="dxa"/>
            <w:vMerge w:val="restart"/>
            <w:tcBorders>
              <w:top w:val="nil"/>
              <w:left w:val="single" w:color="auto" w:sz="4" w:space="0"/>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11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2. </w:t>
            </w:r>
            <w:r>
              <w:rPr>
                <w:rFonts w:hint="eastAsia" w:ascii="仿宋_GB2312" w:hAnsi="宋体" w:eastAsia="仿宋_GB2312" w:cs="宋体"/>
                <w:kern w:val="0"/>
                <w:szCs w:val="21"/>
              </w:rPr>
              <w:t>行使城市规划管理方面法律、法规、规章规定的对未经规划部门审批的建筑物、构筑物或者其它设施以及不按批准的规划许可建设的建筑物、构筑物的行为，对违反城市规划编制单位资质管理规定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5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3. </w:t>
            </w:r>
            <w:r>
              <w:rPr>
                <w:rFonts w:hint="eastAsia" w:ascii="仿宋_GB2312" w:hAnsi="宋体" w:eastAsia="仿宋_GB2312" w:cs="宋体"/>
                <w:kern w:val="0"/>
                <w:szCs w:val="21"/>
              </w:rPr>
              <w:t>行使城市绿化管理方面法律、法规、规章规定的行政处罚权。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4. </w:t>
            </w:r>
            <w:r>
              <w:rPr>
                <w:rFonts w:hint="eastAsia" w:ascii="仿宋_GB2312" w:hAnsi="宋体" w:eastAsia="仿宋_GB2312" w:cs="宋体"/>
                <w:kern w:val="0"/>
                <w:szCs w:val="21"/>
              </w:rPr>
              <w:t>行使城市市政公用管理方面法律、法规、规章规定的对侵占道路、燃气及供水公用设施、违反施工现场围栏管理的行为的行政处罚权。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5. </w:t>
            </w:r>
            <w:r>
              <w:rPr>
                <w:rFonts w:hint="eastAsia" w:ascii="仿宋_GB2312" w:hAnsi="宋体" w:eastAsia="仿宋_GB2312" w:cs="宋体"/>
                <w:kern w:val="0"/>
                <w:szCs w:val="21"/>
              </w:rPr>
              <w:t>行使环境保护方面法律、法规、规章规定的对焚烧有毒有害、产生烟尘物质及未采取措施存放煤炭等物料的行为的行政处罚权。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642"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 xml:space="preserve">6. </w:t>
            </w:r>
            <w:r>
              <w:rPr>
                <w:rFonts w:hint="eastAsia" w:ascii="仿宋_GB2312" w:hAnsi="宋体" w:eastAsia="仿宋_GB2312" w:cs="宋体"/>
                <w:kern w:val="0"/>
                <w:szCs w:val="21"/>
              </w:rPr>
              <w:t>行使工商行政管理方面法律、法规、规章规定的对在商品交易市场、居民小区及店面以外无照从事经营活动的行为的行政处罚权。</w:t>
            </w:r>
          </w:p>
        </w:tc>
        <w:tc>
          <w:tcPr>
            <w:tcW w:w="1700" w:type="dxa"/>
            <w:vMerge w:val="continue"/>
            <w:tcBorders>
              <w:top w:val="nil"/>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color w:val="FF0000"/>
                <w:kern w:val="0"/>
                <w:szCs w:val="21"/>
              </w:rPr>
            </w:pPr>
          </w:p>
        </w:tc>
      </w:tr>
      <w:tr>
        <w:tblPrEx>
          <w:tblCellMar>
            <w:top w:w="0" w:type="dxa"/>
            <w:left w:w="108" w:type="dxa"/>
            <w:bottom w:w="0" w:type="dxa"/>
            <w:right w:w="108" w:type="dxa"/>
          </w:tblCellMar>
        </w:tblPrEx>
        <w:trPr>
          <w:trHeight w:val="109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2</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研究部署辖区城市管理行政执法工作，对城区范围内城市管理行政执法工作进行综合管理。</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研究起草城区城市管理综合执法的相关性文件并组织实施。</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642"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3</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按管理权限，负责辖区城管执法人员招聘相关工作；负责辖区城市管理行政执法人员的培训、教育和年度考核工作。</w:t>
            </w: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按管理权限，组织实施本城区城管执法人员招聘工作；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96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负责本城区城市管理行政执法人员的培训、教育和上岗前执法业务、法律法规知识的培训、考试工作；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522" w:hRule="atLeast"/>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负责本城区城市管理行政执法人员执法证管理工作。</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67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4</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负责城区城市管理行政执法局行政案件的审批、应诉工作。</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2100"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5</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根据有关市容环境卫生管理的方针政策和法律法规，制定相关规范性文件并组织实施；负责编制全区市容和环境卫生管理工作规划、计划，并组织实施；拟定城区城市市容和环境综合整治计划。</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1819" w:hRule="atLeast"/>
        </w:trPr>
        <w:tc>
          <w:tcPr>
            <w:tcW w:w="1080" w:type="dxa"/>
            <w:tcBorders>
              <w:top w:val="nil"/>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6</w:t>
            </w:r>
          </w:p>
        </w:tc>
        <w:tc>
          <w:tcPr>
            <w:tcW w:w="396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负责规范城区市容环境卫生管理并对其行业进行监管；指导环卫设施建设；组织市容环境卫生科学技术研究；开展市容环境卫生管理的宣传教育、信息交流活动。</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582"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7</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r>
              <w:rPr>
                <w:rFonts w:hint="eastAsia" w:ascii="仿宋_GB2312" w:hAnsi="宋体" w:eastAsia="仿宋_GB2312" w:cs="宋体"/>
                <w:kern w:val="0"/>
                <w:szCs w:val="21"/>
              </w:rPr>
              <w:t>按自治区、柳州市公布的行政审批事项目录执行区城市管理行政执法局的行政许可和非行政许可审批事项。</w:t>
            </w: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、关闭、闲置或者拆除城市生活垃圾处置设施、场所核准；</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82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right w:val="single" w:color="auto" w:sz="4" w:space="0"/>
            </w:tcBorders>
            <w:vAlign w:val="center"/>
          </w:tcPr>
          <w:p>
            <w:pPr>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、因建设等特殊需要在街道两侧和公共场地临时堆放材料、搭建非永久性建筑物、构筑物或者其他设施的同意；</w:t>
            </w:r>
          </w:p>
        </w:tc>
        <w:tc>
          <w:tcPr>
            <w:tcW w:w="1700" w:type="dxa"/>
            <w:tcBorders>
              <w:top w:val="single" w:color="auto" w:sz="4" w:space="0"/>
              <w:left w:val="nil"/>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p>
            <w:pPr>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、单位和个人在城市建筑物、设施上张挂、张贴宣传品等的批准；</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nil"/>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3960" w:type="dxa"/>
            <w:vMerge w:val="continue"/>
            <w:tcBorders>
              <w:top w:val="single" w:color="auto" w:sz="4" w:space="0"/>
              <w:left w:val="single" w:color="auto" w:sz="4" w:space="0"/>
              <w:bottom w:val="nil"/>
              <w:right w:val="single" w:color="auto" w:sz="4" w:space="0"/>
            </w:tcBorders>
            <w:vAlign w:val="center"/>
          </w:tcPr>
          <w:p>
            <w:pPr>
              <w:widowControl/>
              <w:adjustRightInd w:val="0"/>
              <w:spacing w:line="500" w:lineRule="atLeast"/>
              <w:jc w:val="left"/>
              <w:rPr>
                <w:rFonts w:ascii="仿宋_GB2312" w:hAnsi="宋体" w:eastAsia="仿宋_GB2312" w:cs="宋体"/>
                <w:kern w:val="0"/>
                <w:szCs w:val="21"/>
              </w:rPr>
            </w:pPr>
          </w:p>
        </w:tc>
        <w:tc>
          <w:tcPr>
            <w:tcW w:w="802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、拆除（迁）环境卫生设施的审批；</w:t>
            </w:r>
          </w:p>
        </w:tc>
        <w:tc>
          <w:tcPr>
            <w:tcW w:w="1700" w:type="dxa"/>
            <w:tcBorders>
              <w:top w:val="single" w:color="auto" w:sz="4" w:space="0"/>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r>
        <w:tblPrEx>
          <w:tblCellMar>
            <w:top w:w="0" w:type="dxa"/>
            <w:left w:w="108" w:type="dxa"/>
            <w:bottom w:w="0" w:type="dxa"/>
            <w:right w:w="108" w:type="dxa"/>
          </w:tblCellMar>
        </w:tblPrEx>
        <w:trPr>
          <w:trHeight w:val="88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ascii="仿宋_GB2312" w:hAnsi="宋体" w:eastAsia="仿宋_GB2312" w:cs="宋体"/>
                <w:kern w:val="0"/>
                <w:szCs w:val="21"/>
              </w:rPr>
              <w:t>8</w:t>
            </w:r>
          </w:p>
        </w:tc>
        <w:tc>
          <w:tcPr>
            <w:tcW w:w="3960" w:type="dxa"/>
            <w:tcBorders>
              <w:top w:val="single" w:color="auto" w:sz="4" w:space="0"/>
              <w:left w:val="nil"/>
              <w:bottom w:val="single" w:color="auto" w:sz="4" w:space="0"/>
              <w:right w:val="single" w:color="auto" w:sz="4" w:space="0"/>
            </w:tcBorders>
            <w:vAlign w:val="center"/>
          </w:tcPr>
          <w:p>
            <w:pPr>
              <w:widowControl/>
              <w:adjustRightInd w:val="0"/>
              <w:spacing w:line="500" w:lineRule="atLeast"/>
              <w:rPr>
                <w:rFonts w:ascii="仿宋_GB2312" w:hAnsi="宋体" w:eastAsia="仿宋_GB2312" w:cs="宋体"/>
                <w:kern w:val="0"/>
                <w:szCs w:val="21"/>
              </w:rPr>
            </w:pPr>
            <w:r>
              <w:rPr>
                <w:rFonts w:hint="eastAsia" w:ascii="仿宋_GB2312" w:hAnsi="宋体" w:eastAsia="仿宋_GB2312" w:cs="宋体"/>
                <w:kern w:val="0"/>
                <w:szCs w:val="21"/>
              </w:rPr>
              <w:t>承办区人民政府交办的其他事项。</w:t>
            </w:r>
          </w:p>
        </w:tc>
        <w:tc>
          <w:tcPr>
            <w:tcW w:w="802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700" w:type="dxa"/>
            <w:tcBorders>
              <w:top w:val="nil"/>
              <w:left w:val="nil"/>
              <w:bottom w:val="single" w:color="auto" w:sz="4" w:space="0"/>
              <w:right w:val="single" w:color="auto" w:sz="4" w:space="0"/>
            </w:tcBorders>
            <w:vAlign w:val="center"/>
          </w:tcPr>
          <w:p>
            <w:pPr>
              <w:widowControl/>
              <w:adjustRightInd w:val="0"/>
              <w:spacing w:line="500" w:lineRule="atLeast"/>
              <w:jc w:val="center"/>
              <w:rPr>
                <w:rFonts w:ascii="仿宋_GB2312" w:hAnsi="宋体" w:eastAsia="仿宋_GB2312" w:cs="宋体"/>
                <w:color w:val="FF0000"/>
                <w:kern w:val="0"/>
                <w:szCs w:val="21"/>
              </w:rPr>
            </w:pPr>
            <w:r>
              <w:rPr>
                <w:rFonts w:hint="eastAsia" w:ascii="仿宋_GB2312" w:hAnsi="宋体" w:eastAsia="仿宋_GB2312" w:cs="宋体"/>
                <w:color w:val="FF0000"/>
                <w:kern w:val="0"/>
                <w:szCs w:val="21"/>
              </w:rPr>
              <w:t>　</w:t>
            </w:r>
          </w:p>
        </w:tc>
      </w:tr>
    </w:tbl>
    <w:p>
      <w:pPr>
        <w:adjustRightInd w:val="0"/>
        <w:spacing w:line="500" w:lineRule="atLeast"/>
        <w:rPr>
          <w:rFonts w:ascii="仿宋_GB2312" w:eastAsia="仿宋_GB2312"/>
          <w:szCs w:val="21"/>
        </w:rPr>
      </w:pPr>
    </w:p>
    <w:p>
      <w:pPr>
        <w:adjustRightInd w:val="0"/>
        <w:spacing w:line="500" w:lineRule="atLeast"/>
        <w:rPr>
          <w:rFonts w:ascii="仿宋_GB2312" w:eastAsia="仿宋_GB2312"/>
          <w:szCs w:val="21"/>
        </w:rPr>
      </w:pPr>
    </w:p>
    <w:p>
      <w:pPr>
        <w:adjustRightInd w:val="0"/>
        <w:spacing w:line="500" w:lineRule="atLeast"/>
        <w:rPr>
          <w:rFonts w:ascii="仿宋_GB2312" w:eastAsia="仿宋_GB2312"/>
          <w:szCs w:val="21"/>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二、公共服务事项登记表</w:t>
      </w:r>
    </w:p>
    <w:tbl>
      <w:tblPr>
        <w:tblStyle w:val="5"/>
        <w:tblW w:w="14580" w:type="dxa"/>
        <w:tblInd w:w="-252" w:type="dxa"/>
        <w:tblLayout w:type="fixed"/>
        <w:tblCellMar>
          <w:top w:w="0" w:type="dxa"/>
          <w:left w:w="108" w:type="dxa"/>
          <w:bottom w:w="0" w:type="dxa"/>
          <w:right w:w="108" w:type="dxa"/>
        </w:tblCellMar>
      </w:tblPr>
      <w:tblGrid>
        <w:gridCol w:w="1138"/>
        <w:gridCol w:w="3085"/>
        <w:gridCol w:w="5857"/>
        <w:gridCol w:w="2257"/>
        <w:gridCol w:w="2243"/>
      </w:tblGrid>
      <w:tr>
        <w:tblPrEx>
          <w:tblCellMar>
            <w:top w:w="0" w:type="dxa"/>
            <w:left w:w="108" w:type="dxa"/>
            <w:bottom w:w="0" w:type="dxa"/>
            <w:right w:w="108" w:type="dxa"/>
          </w:tblCellMar>
        </w:tblPrEx>
        <w:trPr>
          <w:trHeight w:val="945" w:hRule="atLeast"/>
        </w:trPr>
        <w:tc>
          <w:tcPr>
            <w:tcW w:w="11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序号</w:t>
            </w:r>
          </w:p>
        </w:tc>
        <w:tc>
          <w:tcPr>
            <w:tcW w:w="3085"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服务事项</w:t>
            </w:r>
          </w:p>
        </w:tc>
        <w:tc>
          <w:tcPr>
            <w:tcW w:w="5857"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主要内容</w:t>
            </w:r>
          </w:p>
        </w:tc>
        <w:tc>
          <w:tcPr>
            <w:tcW w:w="2257"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承办机构</w:t>
            </w:r>
          </w:p>
        </w:tc>
        <w:tc>
          <w:tcPr>
            <w:tcW w:w="2243" w:type="dxa"/>
            <w:tcBorders>
              <w:top w:val="single" w:color="auto" w:sz="4" w:space="0"/>
              <w:left w:val="nil"/>
              <w:bottom w:val="nil"/>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联系电话</w:t>
            </w:r>
          </w:p>
        </w:tc>
      </w:tr>
      <w:tr>
        <w:tblPrEx>
          <w:tblCellMar>
            <w:top w:w="0" w:type="dxa"/>
            <w:left w:w="108" w:type="dxa"/>
            <w:bottom w:w="0" w:type="dxa"/>
            <w:right w:w="108" w:type="dxa"/>
          </w:tblCellMar>
        </w:tblPrEx>
        <w:trPr>
          <w:trHeight w:val="2040" w:hRule="atLeast"/>
        </w:trPr>
        <w:tc>
          <w:tcPr>
            <w:tcW w:w="1138" w:type="dxa"/>
            <w:tcBorders>
              <w:top w:val="nil"/>
              <w:left w:val="single" w:color="auto" w:sz="4" w:space="0"/>
              <w:bottom w:val="single" w:color="auto" w:sz="4" w:space="0"/>
              <w:right w:val="nil"/>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30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鱼峰区数字城管信息采集、评价、考核。</w:t>
            </w:r>
          </w:p>
        </w:tc>
        <w:tc>
          <w:tcPr>
            <w:tcW w:w="585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运用数字化信息技术对鱼峰辖区城市市容市貌进行科学管理，为市容环境干净提供保障。对鱼峰区城市管理信息中心采集员巡查发现、公众举报、新闻媒体曝光、有关部门移送、上级交办的城市管理方面等问题进行统一受理、派遣、反馈、监督和评价。</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鱼峰区城市管理信息中心</w:t>
            </w:r>
          </w:p>
        </w:tc>
        <w:tc>
          <w:tcPr>
            <w:tcW w:w="22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0772-3108198</w:t>
            </w:r>
          </w:p>
        </w:tc>
      </w:tr>
    </w:tbl>
    <w:p/>
    <w:p/>
    <w:p/>
    <w:p>
      <w:pPr>
        <w:spacing w:before="100" w:beforeAutospacing="1" w:after="100" w:afterAutospacing="1" w:line="420" w:lineRule="atLeast"/>
        <w:rPr>
          <w:rFonts w:ascii="仿宋_GB2312" w:hAnsi="宋体" w:eastAsia="仿宋_GB2312" w:cs="宋体"/>
          <w:b/>
          <w:color w:val="000000"/>
          <w:kern w:val="0"/>
          <w:sz w:val="28"/>
          <w:szCs w:val="28"/>
        </w:rPr>
      </w:pPr>
      <w:r>
        <w:rPr>
          <w:rFonts w:hint="eastAsia" w:ascii="仿宋_GB2312" w:eastAsia="仿宋_GB2312"/>
          <w:b/>
          <w:sz w:val="28"/>
          <w:szCs w:val="28"/>
        </w:rPr>
        <w:t>三、</w:t>
      </w:r>
      <w:r>
        <w:rPr>
          <w:rFonts w:hint="eastAsia" w:ascii="仿宋_GB2312" w:hAnsi="宋体" w:eastAsia="仿宋_GB2312" w:cs="宋体"/>
          <w:b/>
          <w:bCs/>
          <w:color w:val="000000"/>
          <w:kern w:val="0"/>
          <w:sz w:val="28"/>
          <w:szCs w:val="28"/>
        </w:rPr>
        <w:t>部门预算单位构成</w:t>
      </w:r>
    </w:p>
    <w:p>
      <w:pPr>
        <w:widowControl/>
        <w:spacing w:before="100" w:beforeAutospacing="1" w:after="100" w:afterAutospacing="1" w:line="420" w:lineRule="atLeas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一级预算部门：鱼峰区城市管理行政执法局</w:t>
      </w:r>
    </w:p>
    <w:p/>
    <w:p/>
    <w:p/>
    <w:p/>
    <w:p/>
    <w:p/>
    <w:p/>
    <w:p/>
    <w:p/>
    <w:p/>
    <w:p>
      <w:p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425" w:num="1"/>
          <w:docGrid w:type="lines" w:linePitch="312" w:charSpace="0"/>
        </w:sectPr>
      </w:pPr>
    </w:p>
    <w:p>
      <w:pPr>
        <w:spacing w:beforeLines="50" w:afterLines="50" w:line="520" w:lineRule="exact"/>
        <w:jc w:val="center"/>
        <w:rPr>
          <w:rFonts w:ascii="方正小标宋简体" w:eastAsia="方正小标宋简体"/>
          <w:sz w:val="36"/>
          <w:szCs w:val="36"/>
        </w:rPr>
      </w:pPr>
      <w:r>
        <w:rPr>
          <w:rFonts w:hint="eastAsia" w:ascii="方正小标宋简体" w:eastAsia="方正小标宋简体"/>
          <w:sz w:val="36"/>
          <w:szCs w:val="36"/>
        </w:rPr>
        <w:t>事中事后监督管理制度（共</w:t>
      </w:r>
      <w:r>
        <w:rPr>
          <w:rFonts w:ascii="方正小标宋简体" w:eastAsia="方正小标宋简体"/>
          <w:sz w:val="36"/>
          <w:szCs w:val="36"/>
        </w:rPr>
        <w:t>5</w:t>
      </w:r>
      <w:r>
        <w:rPr>
          <w:rFonts w:hint="eastAsia" w:ascii="方正小标宋简体" w:eastAsia="方正小标宋简体"/>
          <w:sz w:val="36"/>
          <w:szCs w:val="36"/>
        </w:rPr>
        <w:t>项）</w:t>
      </w:r>
    </w:p>
    <w:p>
      <w:pPr>
        <w:shd w:val="clear" w:color="auto" w:fill="FFFFFF"/>
        <w:adjustRightInd w:val="0"/>
        <w:snapToGrid w:val="0"/>
        <w:spacing w:line="600" w:lineRule="exact"/>
        <w:jc w:val="center"/>
        <w:rPr>
          <w:rFonts w:ascii="仿宋_GB2312" w:eastAsia="仿宋_GB2312" w:cs="黑体"/>
          <w:b/>
          <w:bCs/>
          <w:kern w:val="0"/>
          <w:sz w:val="32"/>
          <w:szCs w:val="32"/>
        </w:rPr>
      </w:pPr>
      <w:r>
        <w:rPr>
          <w:rFonts w:hint="eastAsia" w:ascii="仿宋_GB2312" w:eastAsia="仿宋_GB2312" w:cs="黑体"/>
          <w:b/>
          <w:bCs/>
          <w:kern w:val="0"/>
          <w:sz w:val="32"/>
          <w:szCs w:val="32"/>
        </w:rPr>
        <w:t>（一）鱼峰区城市管理行政执法考核</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一、监督检查对象</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鱼峰区各城市管理行政执法中队、科室。</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二、监督检查内容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（一）周考核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、行政管理，内容包括：队伍形象、考勤管理、执勤管理。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、执法效果，内容包括：市容和环境卫生管理、市政设施管理、园林绿化管理、城乡规划管理、环境保护管理、工商行政管理等方面的行政执法工作及效果。</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（二）季度考核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、执法规范，内容包括：一般程序、简易程序、听证程序的执行情况，物品的扣押与管理，罚没款收缴，执法票据管理，案卷管理规范以及文明执法等内容。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、外部监督，内容包括：媒体曝光，群众投诉举报，城市管理信息中心指派案件，市执法局转办案件、区委、区政府领导责成解决或者纠正的事项等。</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（三）年度考核</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基本工作，内容包括：年度工作计划，半年执法情况报告，执法数据报送，执法业务培训，政策法规学习宣传，制度执行，行政复议、诉讼案件，廉政建设，命令批示贯彻执行等。</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三、监督检查方式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考核分月考核、季度考核和年度考核三种。采取日常巡查、路段检评、投诉处理、办公责任等方式进行。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四、监督检查措施</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（一）月考核由各执法中队组织实施。每日检查，每周进行一次统分。一个月内，由各执法中队每月统分考评情况，并将考评情况报鱼峰执法局督查科。</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（二）季度考核由鱼峰区执法局督查科组织实施。考核结束后即通报考核情况，提出奖惩建议报市局领导班子。</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（三）年度考核由局领导班子组织实施。检查结束后即通报考核情况，需要启动问责程序的，按职责权限执行。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五、监督检查处理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（一）鱼峰区执法人员绩效考核结果作为鱼峰区依法行政考核的参考数据。城区城市管理行政执法数据由市城市管理行政执法局负责采集。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（二）城区城市管理行政执法工作纳入市年度绩效考评体系进行考核。城区城市管理行政执法数据由市城市管理行政执法局负责采集。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（三）城市管理行政执法绩效考核成绩作为中队、科室领导干部调职晋升、提拔使用的重要依据。</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（四）月考核不达标的，责令限期改正，并给予通报批评。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（五）季度考核不达标的，责令限期改正，并给予通报批评，对单位主要领导进行诫勉谈话。</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（六）季度考核不达标且季内周考核平均得分不达标的，责令限期改正、作出书面检查，并给予通报批评。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（七）全年考核总评不达标的，责令限期改正、作出书面检查，并给予通报批评、取消单位及主要领导评优评先资格、各部门主要领导年度考核定为不称职，情节严重的，依法给予行政处分。</w:t>
      </w:r>
    </w:p>
    <w:p>
      <w:pPr>
        <w:shd w:val="clear" w:color="auto" w:fill="FFFFFF"/>
        <w:adjustRightInd w:val="0"/>
        <w:snapToGrid w:val="0"/>
        <w:spacing w:line="600" w:lineRule="exact"/>
        <w:ind w:firstLine="640" w:firstLineChars="200"/>
        <w:rPr>
          <w:rFonts w:ascii="仿宋_GB2312" w:eastAsia="仿宋_GB2312" w:cs="黑体"/>
          <w:kern w:val="0"/>
          <w:sz w:val="32"/>
          <w:szCs w:val="32"/>
        </w:rPr>
      </w:pPr>
    </w:p>
    <w:p>
      <w:pPr>
        <w:shd w:val="clear" w:color="auto" w:fill="FFFFFF"/>
        <w:adjustRightInd w:val="0"/>
        <w:snapToGrid w:val="0"/>
        <w:spacing w:line="600" w:lineRule="exact"/>
        <w:rPr>
          <w:rFonts w:ascii="仿宋_GB2312" w:eastAsia="仿宋_GB2312" w:cs="黑体"/>
          <w:b/>
          <w:bCs/>
          <w:kern w:val="0"/>
          <w:sz w:val="32"/>
          <w:szCs w:val="32"/>
        </w:rPr>
      </w:pPr>
      <w:r>
        <w:rPr>
          <w:rFonts w:hint="eastAsia" w:ascii="仿宋_GB2312" w:eastAsia="仿宋_GB2312" w:cs="黑体"/>
          <w:b/>
          <w:bCs/>
          <w:kern w:val="0"/>
          <w:sz w:val="32"/>
          <w:szCs w:val="32"/>
        </w:rPr>
        <w:t>（二）鱼峰区城市管理行政执法过错责任追究</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一、监督检查对象</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鱼峰执法局各中队及其执法人员。</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二、监督检查内容</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鱼峰执法局各中队及其执法人员是否存在不依法履行职责、不适当履行职责，或者损害行政管理相对人合法权益的现象。</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三、监督检查方式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监督检查采取自查与督查、抽查与定期检查的方式进行，或者以上几种方式相结合进行。</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四、监督检查措施</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鱼峰执法局各中队、科室有下列情形之一，经责令改正仍未改正的，给予各中队、科室主要领导诫勉谈话、责令作出书面检查、给予通报批评；情节严重的，依法给予行政处分：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（一）不具备行政处罚主体资格实施行政处罚的；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（二）超越法定权限执法的；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（三）擅自改变处罚种类、幅度的；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（四）不按规定使用执法文书的；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（五）不使用或者不按规定使用法定部门制发的罚款、扣押、没收票据的；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（六）行政不作为的；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（七）拒不执行上级决定、决议的；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（八）擅自改变上级机关的决定，导致行政过错发生的；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（九）违法采取行政措施，导致群体性事件的；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（十）对市委、市政府领导责成解决或者纠正的事项，不解决、不纠正的；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（十一）其他需要追究责任的情形。</w:t>
      </w:r>
    </w:p>
    <w:p>
      <w:pPr>
        <w:shd w:val="clear" w:color="auto" w:fill="FFFFFF"/>
        <w:adjustRightInd w:val="0"/>
        <w:snapToGrid w:val="0"/>
        <w:spacing w:line="600" w:lineRule="exact"/>
        <w:ind w:firstLine="832" w:firstLineChars="260"/>
        <w:rPr>
          <w:rFonts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、执法人员有下列情形之一的，给予诫勉谈话、责令作出书面检查：</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（一）擅离工作岗位的</w:t>
      </w:r>
      <w:r>
        <w:rPr>
          <w:rFonts w:ascii="仿宋_GB2312" w:eastAsia="仿宋_GB2312" w:cs="仿宋"/>
          <w:kern w:val="0"/>
          <w:sz w:val="32"/>
          <w:szCs w:val="32"/>
        </w:rPr>
        <w:t>;</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（二）对应当予以制止和处罚的违法行为不予制止、处罚的；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（三）上级领导责成解决或者纠正的事项，不解决、不纠正的；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（四）城管信息中心派遣的案件未能按时办结的；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（五）媒体曝光、群众投诉举报的案件未能及时处理的。</w:t>
      </w:r>
    </w:p>
    <w:p>
      <w:pPr>
        <w:shd w:val="clear" w:color="auto" w:fill="FFFFFF"/>
        <w:adjustRightInd w:val="0"/>
        <w:snapToGrid w:val="0"/>
        <w:spacing w:line="600" w:lineRule="exact"/>
        <w:ind w:firstLine="832" w:firstLineChars="260"/>
        <w:rPr>
          <w:rFonts w:ascii="仿宋_GB2312" w:eastAsia="仿宋_GB2312" w:cs="仿宋"/>
          <w:kern w:val="0"/>
          <w:sz w:val="32"/>
          <w:szCs w:val="32"/>
        </w:rPr>
      </w:pPr>
      <w:r>
        <w:rPr>
          <w:rFonts w:ascii="仿宋_GB2312" w:eastAsia="仿宋_GB2312" w:cs="仿宋"/>
          <w:kern w:val="0"/>
          <w:sz w:val="32"/>
          <w:szCs w:val="32"/>
        </w:rPr>
        <w:t>3</w:t>
      </w:r>
      <w:r>
        <w:rPr>
          <w:rFonts w:hint="eastAsia" w:ascii="仿宋_GB2312" w:eastAsia="仿宋_GB2312" w:cs="仿宋"/>
          <w:kern w:val="0"/>
          <w:sz w:val="32"/>
          <w:szCs w:val="32"/>
        </w:rPr>
        <w:t>、执法人员有下列情形之一的，给予通报批评：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（一）不按规定出示执法证件、不听取相对人申辩、不履行处罚告知和救济告知义务的；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（二）应当由两名以上执法人员办理的事项而一人办理的；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（三）作出的处罚决定证据不足的；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（四）适用法律、法规、规章、规范性文件错误的；</w:t>
      </w:r>
    </w:p>
    <w:p>
      <w:pPr>
        <w:shd w:val="clear" w:color="auto" w:fill="FFFFFF"/>
        <w:adjustRightInd w:val="0"/>
        <w:snapToGrid w:val="0"/>
        <w:spacing w:line="600" w:lineRule="exact"/>
        <w:rPr>
          <w:rFonts w:ascii="仿宋_GB2312" w:eastAsia="仿宋_GB2312" w:cs="仿宋"/>
          <w:kern w:val="0"/>
          <w:sz w:val="32"/>
          <w:szCs w:val="32"/>
        </w:rPr>
      </w:pPr>
      <w:r>
        <w:rPr>
          <w:rFonts w:ascii="仿宋_GB2312" w:eastAsia="仿宋_GB2312" w:cs="仿宋"/>
          <w:kern w:val="0"/>
          <w:sz w:val="32"/>
          <w:szCs w:val="32"/>
        </w:rPr>
        <w:t xml:space="preserve">    </w:t>
      </w:r>
      <w:r>
        <w:rPr>
          <w:rFonts w:hint="eastAsia" w:ascii="仿宋_GB2312" w:eastAsia="仿宋_GB2312" w:cs="仿宋"/>
          <w:kern w:val="0"/>
          <w:sz w:val="32"/>
          <w:szCs w:val="32"/>
        </w:rPr>
        <w:t>（五）需要批准的事项而未报批的；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（六）行政执法方法欠妥、措施不力、处置不当或用语不文明、态度蛮横、动作粗暴造成不良影响且情节轻微的；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（七）年内连续受到两次以上诫勉谈话或者书面检查的。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4</w:t>
      </w:r>
      <w:r>
        <w:rPr>
          <w:rFonts w:hint="eastAsia" w:ascii="仿宋_GB2312" w:eastAsia="仿宋_GB2312" w:cs="仿宋"/>
          <w:kern w:val="0"/>
          <w:sz w:val="32"/>
          <w:szCs w:val="32"/>
        </w:rPr>
        <w:t>、执法人员有下列情形之一的，给予通报批评；情节严重的，暂扣执法证件、建议发证机关吊销执法证件</w:t>
      </w:r>
      <w:r>
        <w:rPr>
          <w:rFonts w:ascii="仿宋_GB2312" w:eastAsia="仿宋_GB2312" w:cs="仿宋"/>
          <w:kern w:val="0"/>
          <w:sz w:val="32"/>
          <w:szCs w:val="32"/>
        </w:rPr>
        <w:t xml:space="preserve">; </w:t>
      </w:r>
      <w:r>
        <w:rPr>
          <w:rFonts w:hint="eastAsia" w:ascii="仿宋_GB2312" w:eastAsia="仿宋_GB2312" w:cs="仿宋"/>
          <w:kern w:val="0"/>
          <w:sz w:val="32"/>
          <w:szCs w:val="32"/>
        </w:rPr>
        <w:t>情节特别严重的，依法给予行政处分：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（一）超越法定权限执法的；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（二）依法应当适用一般程序处理的行政处罚案件采用简易程序处理的；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（三）依法应当适用听证程序处理的行政处罚案件未按听证程序规定办理的；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（四）扣押物品不开具扣物清单或先行采取扣押措施事后异地补开扣单的；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（五）对查封、扣押、没收的财物保管不善，造成毁损、灭失的；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（六）退还扣押物品无退还手续的；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（七）违反规定当场收取罚款的；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（八）弄虚作假、徇私舞弊，致使批准人不能正确审核批准的；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（九）违规执法，造成恶劣影响或者引发群体性事件的。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5</w:t>
      </w:r>
      <w:r>
        <w:rPr>
          <w:rFonts w:hint="eastAsia" w:ascii="仿宋_GB2312" w:eastAsia="仿宋_GB2312" w:cs="仿宋"/>
          <w:kern w:val="0"/>
          <w:sz w:val="32"/>
          <w:szCs w:val="32"/>
        </w:rPr>
        <w:t>、执法人员有下列情形之一的，构成犯罪的，依法追究刑事责任；情节轻微不构成犯罪的，依法给予行政处分：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（一）违反财政财务管理规定，截留、挪用、坐支、私分或者变相私分扣押、罚没财物的；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（二）利用职务便利，索取或者收受他人财物的；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（三）徇私枉法，袒护违法行为人或致使相对人受到不法追究的；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（四）不使用或者不按规定使用法定部门制发的罚款、扣押、没收票据的；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（五）收缴罚款、扣押物品据为己有的；</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（六）不执行罚缴分离规定或者公款私存的。</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五、监督检查程序</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（一）鱼峰区执法局督查科根据需要组织开展执法监督检查工作或者专项执法监督检查工作。各中队、科室组织开展辖区执法监督检查工作。</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（二）鱼峰区执法局督查科有权调阅有关行政执法案卷和文件材料、实施现场检查。受查单位及其有关人员应当予以协助和配合，如实反映情况，提供有关资料，不得隐瞒、阻挠或者拒绝行政执法监督检查。</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（三）监督检查工作结束后，鱼峰区执法局督查科应对行政执法监督检查情况进行总结，对存在的普遍性、倾向性问题提出整改意见，通报受查中队、科室检查纠正，受查单位应当报告检查纠正情况。</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四）鱼峰区执法局督查科根据反映以及公民、法人或者其他组织的申诉、检举、控告或者根据人大、政协、司法机关等部门的建议，对有关行使城市管理领域属地管理事项职权及行政执法行为组织调查。行政执法行为的调查结果应及时反馈有关申诉、检举、控告、建议单位或者个人。</w:t>
      </w:r>
    </w:p>
    <w:p>
      <w:pPr>
        <w:shd w:val="clear" w:color="auto" w:fill="FFFFFF"/>
        <w:adjustRightInd w:val="0"/>
        <w:snapToGrid w:val="0"/>
        <w:spacing w:line="600" w:lineRule="exact"/>
        <w:ind w:firstLine="643" w:firstLineChars="200"/>
        <w:rPr>
          <w:rFonts w:ascii="仿宋_GB2312" w:eastAsia="仿宋_GB2312" w:cs="仿宋"/>
          <w:b/>
          <w:kern w:val="0"/>
          <w:sz w:val="32"/>
          <w:szCs w:val="32"/>
        </w:rPr>
      </w:pPr>
      <w:r>
        <w:rPr>
          <w:rFonts w:hint="eastAsia" w:ascii="仿宋_GB2312" w:eastAsia="仿宋_GB2312" w:cs="仿宋"/>
          <w:b/>
          <w:kern w:val="0"/>
          <w:sz w:val="32"/>
          <w:szCs w:val="32"/>
        </w:rPr>
        <w:t>六、监督检查处理</w:t>
      </w:r>
    </w:p>
    <w:p>
      <w:pPr>
        <w:shd w:val="clear" w:color="auto" w:fill="FFFFFF"/>
        <w:adjustRightInd w:val="0"/>
        <w:snapToGrid w:val="0"/>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、需要追究执法过错责任的，鱼峰区执法局督查科应当在</w:t>
      </w:r>
      <w:r>
        <w:rPr>
          <w:rFonts w:ascii="仿宋_GB2312" w:eastAsia="仿宋_GB2312" w:cs="仿宋"/>
          <w:kern w:val="0"/>
          <w:sz w:val="32"/>
          <w:szCs w:val="32"/>
        </w:rPr>
        <w:t xml:space="preserve">20 </w:t>
      </w:r>
      <w:r>
        <w:rPr>
          <w:rFonts w:hint="eastAsia" w:ascii="仿宋_GB2312" w:eastAsia="仿宋_GB2312" w:cs="仿宋"/>
          <w:kern w:val="0"/>
          <w:sz w:val="32"/>
          <w:szCs w:val="32"/>
        </w:rPr>
        <w:t>个工作日内进行调查核实，并按照相关规定作出处理。</w:t>
      </w:r>
    </w:p>
    <w:p>
      <w:pPr>
        <w:shd w:val="clear" w:color="auto" w:fill="FFFFFF"/>
        <w:adjustRightInd w:val="0"/>
        <w:snapToGrid w:val="0"/>
        <w:spacing w:line="600" w:lineRule="exact"/>
        <w:ind w:firstLine="640" w:firstLineChars="200"/>
        <w:rPr>
          <w:rFonts w:ascii="仿宋_GB2312" w:eastAsia="仿宋_GB2312"/>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、凡涉及人事管理权、任免权和处分权的事项，市城市管理行政执法局提出处理意见，由具有人事管理权、任免权和处分权的相关单位实施。</w:t>
      </w:r>
    </w:p>
    <w:p>
      <w:pPr>
        <w:adjustRightInd w:val="0"/>
        <w:snapToGrid w:val="0"/>
        <w:spacing w:line="600" w:lineRule="exact"/>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黑体" w:eastAsia="仿宋_GB2312" w:cs="黑体"/>
          <w:b/>
          <w:sz w:val="32"/>
          <w:szCs w:val="32"/>
        </w:rPr>
      </w:pPr>
    </w:p>
    <w:p>
      <w:pPr>
        <w:adjustRightInd w:val="0"/>
        <w:snapToGrid w:val="0"/>
        <w:spacing w:line="600" w:lineRule="exact"/>
        <w:jc w:val="center"/>
        <w:rPr>
          <w:rFonts w:ascii="仿宋_GB2312" w:hAnsi="宋体" w:eastAsia="仿宋_GB2312"/>
          <w:sz w:val="32"/>
          <w:szCs w:val="32"/>
        </w:rPr>
      </w:pPr>
      <w:r>
        <w:rPr>
          <w:rFonts w:ascii="仿宋_GB2312" w:hAnsi="黑体" w:eastAsia="仿宋_GB2312" w:cs="黑体"/>
          <w:b/>
          <w:sz w:val="32"/>
          <w:szCs w:val="32"/>
        </w:rPr>
        <w:t>(</w:t>
      </w:r>
      <w:r>
        <w:rPr>
          <w:rFonts w:hint="eastAsia" w:ascii="仿宋_GB2312" w:hAnsi="黑体" w:eastAsia="仿宋_GB2312" w:cs="黑体"/>
          <w:b/>
          <w:sz w:val="32"/>
          <w:szCs w:val="32"/>
        </w:rPr>
        <w:t>三）行政处罚事中事后监督制度</w:t>
      </w:r>
    </w:p>
    <w:p>
      <w:pPr>
        <w:adjustRightInd w:val="0"/>
        <w:snapToGrid w:val="0"/>
        <w:spacing w:line="600" w:lineRule="exact"/>
        <w:ind w:firstLine="640" w:firstLineChars="200"/>
        <w:rPr>
          <w:rFonts w:ascii="仿宋_GB2312" w:hAnsi="仿宋_GB2312" w:eastAsia="仿宋_GB2312" w:cs="仿宋_GB2312"/>
          <w:sz w:val="32"/>
          <w:szCs w:val="32"/>
        </w:rPr>
      </w:pPr>
      <w:r>
        <w:rPr>
          <w:rFonts w:ascii="宋体" w:hAnsi="宋体" w:eastAsia="仿宋_GB2312" w:cs="宋体"/>
          <w:sz w:val="32"/>
          <w:szCs w:val="32"/>
        </w:rPr>
        <w:t> </w:t>
      </w:r>
      <w:r>
        <w:rPr>
          <w:rFonts w:hint="eastAsia" w:ascii="仿宋_GB2312" w:hAnsi="仿宋_GB2312" w:eastAsia="仿宋_GB2312" w:cs="仿宋_GB2312"/>
          <w:sz w:val="32"/>
          <w:szCs w:val="32"/>
        </w:rPr>
        <w:t>为规范城市管理行政执法工作，依法查处城市管理方面违法案件，推进城市管理行政执法制度化、规范化、程序化等法治环境建设，根据《行政处罚法》、《行政强制法》、《柳州市城市管理相对集中行政处罚权条例》等法律规定，制定以下制度：</w:t>
      </w:r>
    </w:p>
    <w:p>
      <w:pPr>
        <w:adjustRightInd w:val="0"/>
        <w:snapToGrid w:val="0"/>
        <w:spacing w:line="600" w:lineRule="exact"/>
        <w:ind w:firstLine="640" w:firstLineChars="200"/>
        <w:rPr>
          <w:rFonts w:ascii="仿宋_GB2312" w:hAnsi="黑体" w:eastAsia="仿宋_GB2312" w:cs="黑体"/>
          <w:b/>
          <w:sz w:val="32"/>
          <w:szCs w:val="32"/>
        </w:rPr>
      </w:pPr>
      <w:r>
        <w:rPr>
          <w:rFonts w:ascii="宋体" w:hAnsi="宋体" w:eastAsia="仿宋_GB2312" w:cs="宋体"/>
          <w:sz w:val="32"/>
          <w:szCs w:val="32"/>
        </w:rPr>
        <w:t> </w:t>
      </w:r>
      <w:r>
        <w:rPr>
          <w:rFonts w:hint="eastAsia" w:ascii="仿宋_GB2312" w:hAnsi="黑体" w:eastAsia="仿宋_GB2312" w:cs="黑体"/>
          <w:b/>
          <w:sz w:val="32"/>
          <w:szCs w:val="32"/>
        </w:rPr>
        <w:t>一、监督检查对象</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依法行使城市管理相对集中行政处罚职权即从事鱼峰区城市管理行政执法办案工作的执法机构及工作人员。</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二、监督检查内容</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监督检查的范围主要是行政处罚、行政强制以及法律、法规、规章规定的其他行政执法办案事项及活动。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监督检查的内容主要是：</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（一）行政执法主体的合法性；</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（二）具体行政行为的合法性和适当性；</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（三）法律、法规、规章的施行情况；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（四）行政处罚决定的执行情况；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（六）其他行政执法行为监督检查。</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三、监督检查方式</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eastAsia="仿宋_GB2312" w:cs="仿宋"/>
          <w:kern w:val="0"/>
          <w:sz w:val="32"/>
          <w:szCs w:val="32"/>
        </w:rPr>
        <w:t>法制科</w:t>
      </w:r>
      <w:r>
        <w:rPr>
          <w:rFonts w:hint="eastAsia" w:ascii="仿宋_GB2312" w:hAnsi="仿宋_GB2312" w:eastAsia="仿宋_GB2312" w:cs="仿宋_GB2312"/>
          <w:sz w:val="32"/>
          <w:szCs w:val="32"/>
        </w:rPr>
        <w:t>有权调阅各中队的管理审批案卷、管理情况和文件材料。受查单位及其有关人员应当予以协助和配合，如实反映情况，提供有关资料，不得隐瞒、阻挠或者拒绝监督检查。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监督检查结束后，应对监督检查情况进行总结，对被检查单位存在的问题提出整改意见，要求受查单位限期进行纠正，受查单位应当报告检查纠正情况。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督查科可以根据公众反映及公民、法人或者其他组织的申诉、检举控告或者根据人大、政协、司法机关等部门的建议，对有关行使审批事项职权和监管行为开展调查，调查结果应及时反馈有关相对人。</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四、监督检查措施</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鱼峰区执法局督查科在实施监督检查中发现辖区内执法人员有违法情形的，应当根据情况依法作出责令限期改正、采取相应补救措施纠错措施，应当制作《行政处罚监督通知书》；并可给予通报批评，受查单位应当及时报告检查纠正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各中队、科室在行使行政处罚职权和其他行政行为的监管过程中有下列情况之一的，市城市管理行政执法局可以责令其整改。</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行政处罚主体不合法；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行政处罚程序违法或者不当的；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规范性文件不合法的；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监管程序不规范的；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工作人员不履行法定职责的；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其他应当纠正的违法行为。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建议撤销、纠正或者整改所列情形，应当制作《行政处罚监督检查通知（决定）书》，并应当载明以下内容：</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被检查的中队、科室执法人员；</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认定的事实和理由；</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处理的决定和依据；</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执行处理决定的方式和期限；</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执行检查的机构名称和做出《行政处罚监督检查通知（决定）书》的日期，并加盖印章。</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到《行政处罚监督检查通知（决定）书》的中队、科室，应在限定期限内按要求做出纠正或者整改，并书面向发出《行政处罚监督检查通知（决定）书》的机构报告执行结果，被检查的中队、科室对《行政处罚监督检查通知（决定）书》决定不服或有异议的，可以在收到《行政处罚监督检查通知（决定）书》之日起</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日内向发出该通知的机构申请复查。发出《行政处罚监督检查通知（决定）书》的机构应当自接到复查申请之日起</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日内做出复查决定。对复查后做出的决定，被检查的中队、科室应当执行。</w:t>
      </w:r>
    </w:p>
    <w:p>
      <w:pPr>
        <w:adjustRightInd w:val="0"/>
        <w:snapToGrid w:val="0"/>
        <w:spacing w:line="60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五、监督检查处理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各中队、科室执法工作人员在管理活动中，有下列情况之一的，依照《柳州市城市管理行政执法过错责任追究办法》的规定由有权机关追究行政机关和有关责任人员的法律责任：</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超越法定权限的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应属本机关管辖的违法行为不及时立案查处的；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认定事实不清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主要证据不足的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适用法律、法规、规章错误的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违反法定和有关规范性文件规定的程序和期限的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不履行、迟延履行法定职责的或履行法定职责时不完全作为的；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行政处罚显失公正或违反有关自由裁量规定畸轻畸重的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对案件取证不及时或者取证材料保存不善导致丢失、损毁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造成不良后果的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在检查、勘验等调查取证中出现重大失误、疏漏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造成案件错误处理的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涂改、隐匿、伪造、偷换证据或者指使、支持、授意他人作伪证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造成案件处理错误的；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符合听证条件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行政相对人要求听证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应予组织听证而不组织听证的，或者依法应当举行听证而不举行听证的；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未依法告知被处罚人法定救济权利途径的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玩忽职守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对应当予以制止和处罚的违法行为不予以制止、处罚的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违反法律、法规、规章规定自行收缴罚款的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将罚款、没收的违法所得或者财物截留、私分或者变相私分的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十六</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违反法定程序或者超越法定时限采取查封、扣押、滞留等强制措施的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使用、丢失或者损毁查封、扣押、滞留的财物，给当事人造成损失的</w:t>
      </w:r>
      <w:r>
        <w:rPr>
          <w:rFonts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（十八）擅自收费或者不按照法定项目和标准收费的；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（十九）不在办公场所公示依法应当公示的材料的；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（二十）申请人提交的申请材料不齐全、不符合法定形式，不一次性告知申请人必须补正的全部内容的；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其他应予追究执法过错责任的行为。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过错责任追究应根据事实、情节，依法或根据有关规定作出以下处理（单处或并处）：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诫勉谈话</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（二）通报批评；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（三）责令作出书面检查；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（四）责令限期纠正；</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（五）追缴违法所得；</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（六）取消当年度个人晋职、晋级资格；</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取消当年度个人或者及中队评选先进资格。在辖区范围内造成重大影响或者导致公民、法人或者其他组织的合法权益、公共利益和社会秩序遭受重大损害的，依据程度、后果，相关部门（中队、科室）负责人和主管领导需向局领导班子当面陈述情况和处理意见并分别承担相应责任，同时可主动引咎辞职，取消当年度该部门评选先进资格；</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（八）扣发奖金、津贴；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（九）依照规定承担赔偿费用；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（十）行政处分；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（十一）党纪处分；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（十二）吊销《行政执法证》；</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（十三）调离城管行政执法岗位或予以辞退；</w:t>
      </w:r>
    </w:p>
    <w:p>
      <w:pPr>
        <w:adjustRightInd w:val="0"/>
        <w:snapToGrid w:val="0"/>
        <w:spacing w:line="600" w:lineRule="exact"/>
        <w:ind w:firstLine="640" w:firstLineChars="200"/>
        <w:rPr>
          <w:rFonts w:ascii="仿宋_GB2312" w:hAnsi="黑体" w:eastAsia="仿宋_GB2312" w:cs="黑体"/>
          <w:b/>
          <w:sz w:val="32"/>
          <w:szCs w:val="32"/>
        </w:rPr>
      </w:pPr>
      <w:r>
        <w:rPr>
          <w:rFonts w:hint="eastAsia" w:ascii="仿宋_GB2312" w:hAnsi="仿宋_GB2312" w:eastAsia="仿宋_GB2312" w:cs="仿宋_GB2312"/>
          <w:sz w:val="32"/>
          <w:szCs w:val="32"/>
        </w:rPr>
        <w:t>（十四）情节严重构成犯罪的，移送司法机关追究刑事责任。</w:t>
      </w:r>
    </w:p>
    <w:p>
      <w:pPr>
        <w:adjustRightInd w:val="0"/>
        <w:snapToGrid w:val="0"/>
        <w:spacing w:line="600" w:lineRule="exact"/>
        <w:jc w:val="center"/>
        <w:rPr>
          <w:rFonts w:ascii="仿宋_GB2312" w:hAnsi="黑体" w:eastAsia="仿宋_GB2312" w:cs="黑体"/>
          <w:b/>
          <w:sz w:val="32"/>
          <w:szCs w:val="32"/>
        </w:rPr>
      </w:pPr>
      <w:r>
        <w:rPr>
          <w:rFonts w:hint="eastAsia" w:ascii="仿宋_GB2312" w:hAnsi="黑体" w:eastAsia="仿宋_GB2312" w:cs="黑体"/>
          <w:b/>
          <w:sz w:val="32"/>
          <w:szCs w:val="32"/>
        </w:rPr>
        <w:t>（四）重大案件查处</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鱼峰区执法局主要行使指导、协调、监督鱼峰区城管执法系统行政执法工作，组织协调重大行政执法活动工作，组织对重大案件的督查督办，现制定重大案件受理处理制度：</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一、辖区负责受理处理的重大案件范围</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重大案件主要是指：领导批示的案件，线索明确、影响恶劣的案件，情节重大拟给予较重行政处罚的案件。</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（一）领导批示的案件是指自治区、市、区领导批示的案件；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（二）线索明确、影响恶劣的案件是指被群体性举报或者一段时间内被不同举报人连续举报，案件线索明确，违法行为被媒体曝光，社会反响强烈的案件；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（三）情节重大拟给予较重行政处罚的案件是指违法违规问题情节复杂或者重大违法行为拟给予较重的行政处罚的案件；</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二、重大案件受理处理程序</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（一）登记受理。城市管理领域违法违规行为投诉举报统一登记受理，时间一般不超过</w:t>
      </w:r>
      <w:r>
        <w:rPr>
          <w:rFonts w:ascii="仿宋_GB2312" w:hAnsi="仿宋" w:eastAsia="仿宋_GB2312" w:cs="仿宋"/>
          <w:sz w:val="32"/>
          <w:szCs w:val="32"/>
        </w:rPr>
        <w:t>3</w:t>
      </w:r>
      <w:r>
        <w:rPr>
          <w:rFonts w:hint="eastAsia" w:ascii="仿宋_GB2312" w:hAnsi="仿宋" w:eastAsia="仿宋_GB2312" w:cs="仿宋"/>
          <w:sz w:val="32"/>
          <w:szCs w:val="32"/>
        </w:rPr>
        <w:t>个工作日。</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（二）分类办理。承办部门对举报材料提出办理意见，报分管领导审批后，一般案件转送城区城市管理行政执法局（大队）处理，重大案件由</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相关科室组织查办或督办，分类处理过程一般不超过</w:t>
      </w:r>
      <w:r>
        <w:rPr>
          <w:rFonts w:ascii="仿宋_GB2312" w:hAnsi="仿宋" w:eastAsia="仿宋_GB2312" w:cs="仿宋"/>
          <w:sz w:val="32"/>
          <w:szCs w:val="32"/>
        </w:rPr>
        <w:t>5</w:t>
      </w:r>
      <w:r>
        <w:rPr>
          <w:rFonts w:hint="eastAsia" w:ascii="仿宋_GB2312" w:hAnsi="仿宋" w:eastAsia="仿宋_GB2312" w:cs="仿宋"/>
          <w:sz w:val="32"/>
          <w:szCs w:val="32"/>
        </w:rPr>
        <w:t>个工作日。</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（三）查办或督办。</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相关科室要及时组织重大案件的查办，对督办案件应定期跟踪督促城区城市管理行政执法局（大队）反馈调查处理情况，对在规定时限内不能反馈调查处理结果的要书面说明原因。</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（四）结案归档。查处程序合法，事实清楚，处理意见依据正确，已下达行政处罚决定书的案件，承办部门应在</w:t>
      </w:r>
      <w:r>
        <w:rPr>
          <w:rFonts w:ascii="仿宋_GB2312" w:hAnsi="仿宋" w:eastAsia="仿宋_GB2312" w:cs="仿宋"/>
          <w:sz w:val="32"/>
          <w:szCs w:val="32"/>
        </w:rPr>
        <w:t>15</w:t>
      </w:r>
      <w:r>
        <w:rPr>
          <w:rFonts w:hint="eastAsia" w:ascii="仿宋_GB2312" w:hAnsi="仿宋" w:eastAsia="仿宋_GB2312" w:cs="仿宋"/>
          <w:sz w:val="32"/>
          <w:szCs w:val="32"/>
        </w:rPr>
        <w:t>个工作日内结案。</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三、重大案件的办理流程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重大案件的办理通常按立案、调查取证、作出处罚决定、结案归档、备案审查流程进行，</w:t>
      </w:r>
      <w:r>
        <w:rPr>
          <w:rFonts w:hint="eastAsia" w:ascii="仿宋_GB2312" w:hAnsi="仿宋" w:eastAsia="仿宋_GB2312" w:cs="仿宋"/>
          <w:kern w:val="0"/>
          <w:sz w:val="32"/>
          <w:szCs w:val="32"/>
        </w:rPr>
        <w:t>市城市管理行政执法局</w:t>
      </w:r>
      <w:r>
        <w:rPr>
          <w:rFonts w:hint="eastAsia" w:ascii="仿宋_GB2312" w:hAnsi="仿宋" w:eastAsia="仿宋_GB2312" w:cs="仿宋"/>
          <w:sz w:val="32"/>
          <w:szCs w:val="32"/>
        </w:rPr>
        <w:t>相关科室实行查办或者督办。</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（一）立案。立案是指对控告、检举（举报）、投诉及检查等渠道发现的违法违规行为，作出予以调查处理决定的过程。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（二）调查取证。调查取证主要是通过察看现场、查阅资料、询问笔录、检验检测等方法收集证据材料，依据法律、法规、规章对违法违规事实进行认证的过程。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（三）作出处罚决定。承办单位按照领导批示后的处理意见逐项落实，经集体讨论研究作出行政处罚决定。</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（四）结案归档。案件处理终结后，写出专题报告，上报领导批示后结案。</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（五）备案审查。承办单位报送《关于重大行政处罚决定的备案报告》和重大行政处罚决定书副本以接受备案审查。</w:t>
      </w:r>
    </w:p>
    <w:p>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四、重大案件查办考核</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重大案件的办理情况纳入行政执法绩效考核，存在瞒报、失查、办理不力、包庇纵容等情况的，对部门予以通报、下发稽查建议书或者约谈，存在过错的，给予警告或通报批评，情节严重的通报纪检或司法部门，追究相关人员的法律责任。</w:t>
      </w:r>
    </w:p>
    <w:p>
      <w:pPr>
        <w:adjustRightInd w:val="0"/>
        <w:snapToGrid w:val="0"/>
        <w:spacing w:line="600" w:lineRule="exact"/>
        <w:jc w:val="center"/>
        <w:rPr>
          <w:rFonts w:ascii="仿宋_GB2312" w:hAnsi="仿宋" w:eastAsia="仿宋_GB2312" w:cs="仿宋"/>
          <w:b/>
          <w:bCs/>
          <w:sz w:val="32"/>
          <w:szCs w:val="32"/>
        </w:rPr>
      </w:pPr>
      <w:r>
        <w:rPr>
          <w:rFonts w:ascii="仿宋_GB2312" w:hAnsi="仿宋" w:eastAsia="仿宋_GB2312" w:cs="仿宋"/>
          <w:kern w:val="0"/>
          <w:sz w:val="32"/>
          <w:szCs w:val="32"/>
        </w:rPr>
        <w:br w:type="page"/>
      </w:r>
      <w:r>
        <w:rPr>
          <w:rFonts w:hint="eastAsia" w:ascii="仿宋_GB2312" w:hAnsi="黑体" w:eastAsia="仿宋_GB2312" w:cs="黑体"/>
          <w:b/>
          <w:sz w:val="32"/>
          <w:szCs w:val="32"/>
        </w:rPr>
        <w:t>（五）对行政许可事中事后的监督</w:t>
      </w:r>
    </w:p>
    <w:p>
      <w:pPr>
        <w:adjustRightInd w:val="0"/>
        <w:snapToGrid w:val="0"/>
        <w:spacing w:line="600" w:lineRule="exact"/>
        <w:ind w:firstLine="643" w:firstLineChars="200"/>
        <w:rPr>
          <w:rFonts w:ascii="仿宋_GB2312" w:hAnsi="仿宋" w:eastAsia="仿宋_GB2312" w:cs="仿宋"/>
          <w:b/>
          <w:sz w:val="32"/>
          <w:szCs w:val="32"/>
        </w:rPr>
      </w:pPr>
      <w:r>
        <w:rPr>
          <w:rFonts w:ascii="仿宋_GB2312" w:hAnsi="仿宋" w:eastAsia="仿宋_GB2312" w:cs="仿宋"/>
          <w:b/>
          <w:bCs/>
          <w:kern w:val="0"/>
          <w:sz w:val="32"/>
          <w:szCs w:val="32"/>
        </w:rPr>
        <w:t xml:space="preserve"> </w:t>
      </w:r>
      <w:r>
        <w:rPr>
          <w:rFonts w:hint="eastAsia" w:ascii="仿宋_GB2312" w:hAnsi="仿宋" w:eastAsia="仿宋_GB2312" w:cs="仿宋"/>
          <w:b/>
          <w:bCs/>
          <w:kern w:val="0"/>
          <w:sz w:val="32"/>
          <w:szCs w:val="32"/>
        </w:rPr>
        <w:t>一、监督检查对象</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对公民、法人、其他组织进行监督。</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二、监督检查内容</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鱼峰区市容局做出的以下许可项目：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⑴关闭、闲置或者拆除城市生活垃圾处置设施、场所核准行政审批事项；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⑵单位和个人在城市建筑物、设施上张挂、张贴宣传品等的批准行政审批事项；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⑶拆除（迁）环境卫生设施审批行政审批事项；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⑷因建设等特殊需要在街道两侧和公共场地临时堆放物料、搭建非永久性建筑物、构筑物或者其它设施的同意行政审批事项；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⑸城市市区内因教学、科研需要饲养家禽家畜（鸡、鸭、鹅、兔、羊、猪）的审批行政审批事项。</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三、监督检查方式</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（一）进行现场检查。受查单位及其有关人员应当予以协助和配合，如实反映情况，提供有关资料，不得隐瞒、阻挠或者拒绝监督检查。</w:t>
      </w:r>
    </w:p>
    <w:p>
      <w:pPr>
        <w:adjustRightInd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w:t>
      </w:r>
      <w:r>
        <w:rPr>
          <w:rFonts w:hint="eastAsia" w:ascii="仿宋_GB2312" w:hAnsi="仿宋" w:eastAsia="仿宋_GB2312" w:cs="仿宋"/>
          <w:sz w:val="32"/>
          <w:szCs w:val="32"/>
        </w:rPr>
        <w:t>二</w:t>
      </w:r>
      <w:r>
        <w:rPr>
          <w:rFonts w:ascii="仿宋_GB2312" w:hAnsi="仿宋" w:eastAsia="仿宋_GB2312" w:cs="仿宋"/>
          <w:sz w:val="32"/>
          <w:szCs w:val="32"/>
        </w:rPr>
        <w:t xml:space="preserve">) </w:t>
      </w:r>
      <w:r>
        <w:rPr>
          <w:rFonts w:hint="eastAsia" w:ascii="仿宋_GB2312" w:hAnsi="仿宋" w:eastAsia="仿宋_GB2312" w:cs="仿宋"/>
          <w:sz w:val="32"/>
          <w:szCs w:val="32"/>
        </w:rPr>
        <w:t>监督检查结束后，应对监督检查情况进行总结，对被检查单位存在的问题提出整改意见，要求受查单位限期进行纠正，受查单位应当报告检查纠正情况。</w:t>
      </w:r>
    </w:p>
    <w:p>
      <w:pPr>
        <w:adjustRightInd w:val="0"/>
        <w:snapToGrid w:val="0"/>
        <w:spacing w:line="60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四、监督检查措施</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按照行政处罚法的相关规定开展执法工作，依法履行有关立案、调查、审批、告知、处罚、执行等程序。</w:t>
      </w:r>
    </w:p>
    <w:p>
      <w:pPr>
        <w:adjustRightInd w:val="0"/>
        <w:snapToGrid w:val="0"/>
        <w:spacing w:line="600" w:lineRule="exact"/>
        <w:rPr>
          <w:rFonts w:ascii="仿宋_GB2312" w:hAnsi="仿宋" w:eastAsia="仿宋_GB2312" w:cs="仿宋"/>
          <w:b/>
          <w:bCs/>
          <w:kern w:val="0"/>
          <w:sz w:val="32"/>
          <w:szCs w:val="32"/>
        </w:rPr>
      </w:pPr>
      <w:r>
        <w:rPr>
          <w:rFonts w:ascii="仿宋_GB2312" w:hAnsi="仿宋" w:eastAsia="仿宋_GB2312" w:cs="仿宋"/>
          <w:b/>
          <w:bCs/>
          <w:kern w:val="0"/>
          <w:sz w:val="32"/>
          <w:szCs w:val="32"/>
        </w:rPr>
        <w:t xml:space="preserve">     </w:t>
      </w:r>
      <w:r>
        <w:rPr>
          <w:rFonts w:hint="eastAsia" w:ascii="仿宋_GB2312" w:hAnsi="仿宋" w:eastAsia="仿宋_GB2312" w:cs="仿宋"/>
          <w:b/>
          <w:bCs/>
          <w:kern w:val="0"/>
          <w:sz w:val="32"/>
          <w:szCs w:val="32"/>
        </w:rPr>
        <w:t>五、监督检查处理</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w:t>
      </w:r>
      <w:r>
        <w:rPr>
          <w:rFonts w:hint="eastAsia" w:ascii="仿宋_GB2312" w:hAnsi="仿宋" w:eastAsia="仿宋_GB2312" w:cs="仿宋"/>
          <w:sz w:val="32"/>
          <w:szCs w:val="32"/>
        </w:rPr>
        <w:t>一</w:t>
      </w:r>
      <w:r>
        <w:rPr>
          <w:rFonts w:ascii="仿宋_GB2312" w:hAnsi="仿宋" w:eastAsia="仿宋_GB2312" w:cs="仿宋"/>
          <w:sz w:val="32"/>
          <w:szCs w:val="32"/>
        </w:rPr>
        <w:t xml:space="preserve">) </w:t>
      </w:r>
      <w:r>
        <w:rPr>
          <w:rFonts w:hint="eastAsia" w:ascii="仿宋_GB2312" w:hAnsi="仿宋" w:eastAsia="仿宋_GB2312" w:cs="仿宋"/>
          <w:sz w:val="32"/>
          <w:szCs w:val="32"/>
        </w:rPr>
        <w:t>有下列情况之一的，鱼峰执法局可以通知审批部门依据相关法律法规的规定，撤销已经做出的相关行政许可。</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1. </w:t>
      </w:r>
      <w:r>
        <w:rPr>
          <w:rFonts w:hint="eastAsia" w:ascii="仿宋_GB2312" w:hAnsi="仿宋" w:eastAsia="仿宋_GB2312" w:cs="仿宋"/>
          <w:sz w:val="32"/>
          <w:szCs w:val="32"/>
        </w:rPr>
        <w:t>相关审批部门工作人员滥用职权、玩忽职守作出相关许可决定的；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2. </w:t>
      </w:r>
      <w:r>
        <w:rPr>
          <w:rFonts w:hint="eastAsia" w:ascii="仿宋_GB2312" w:hAnsi="仿宋" w:eastAsia="仿宋_GB2312" w:cs="仿宋"/>
          <w:sz w:val="32"/>
          <w:szCs w:val="32"/>
        </w:rPr>
        <w:t>超越法定职权作出相关许可决定的；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3. </w:t>
      </w:r>
      <w:r>
        <w:rPr>
          <w:rFonts w:hint="eastAsia" w:ascii="仿宋_GB2312" w:hAnsi="仿宋" w:eastAsia="仿宋_GB2312" w:cs="仿宋"/>
          <w:sz w:val="32"/>
          <w:szCs w:val="32"/>
        </w:rPr>
        <w:t>违法法定程序作出相关许可决定的；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4. </w:t>
      </w:r>
      <w:r>
        <w:rPr>
          <w:rFonts w:hint="eastAsia" w:ascii="仿宋_GB2312" w:hAnsi="仿宋" w:eastAsia="仿宋_GB2312" w:cs="仿宋"/>
          <w:sz w:val="32"/>
          <w:szCs w:val="32"/>
        </w:rPr>
        <w:t>对不具备申请资格或者不符合法定条件的申请人（申请单位）准予核发等作出相关许可决定的；</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5. </w:t>
      </w:r>
      <w:r>
        <w:rPr>
          <w:rFonts w:hint="eastAsia" w:ascii="仿宋_GB2312" w:hAnsi="仿宋" w:eastAsia="仿宋_GB2312" w:cs="仿宋"/>
          <w:sz w:val="32"/>
          <w:szCs w:val="32"/>
        </w:rPr>
        <w:t>被许可人欺骗、贿赂等不正当手段取得相关许可决定的，应当予以撤销；</w:t>
      </w:r>
    </w:p>
    <w:p>
      <w:pPr>
        <w:adjustRightInd w:val="0"/>
        <w:snapToGrid w:val="0"/>
        <w:spacing w:line="600" w:lineRule="exac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6. </w:t>
      </w:r>
      <w:r>
        <w:rPr>
          <w:rFonts w:hint="eastAsia" w:ascii="仿宋_GB2312" w:hAnsi="仿宋" w:eastAsia="仿宋_GB2312" w:cs="仿宋"/>
          <w:sz w:val="32"/>
          <w:szCs w:val="32"/>
        </w:rPr>
        <w:t>依法可以撤销相关许可决定的其他情形。</w:t>
      </w:r>
    </w:p>
    <w:p>
      <w:pPr>
        <w:adjustRightInd w:val="0"/>
        <w:snapToGrid w:val="0"/>
        <w:spacing w:line="600" w:lineRule="exac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依照本条第</w:t>
      </w:r>
      <w:r>
        <w:rPr>
          <w:rFonts w:ascii="仿宋_GB2312" w:hAnsi="仿宋" w:eastAsia="仿宋_GB2312" w:cs="仿宋"/>
          <w:sz w:val="32"/>
          <w:szCs w:val="32"/>
        </w:rPr>
        <w:t>1</w:t>
      </w:r>
      <w:r>
        <w:rPr>
          <w:rFonts w:hint="eastAsia" w:ascii="仿宋_GB2312" w:hAnsi="仿宋" w:eastAsia="仿宋_GB2312" w:cs="仿宋"/>
          <w:sz w:val="32"/>
          <w:szCs w:val="32"/>
        </w:rPr>
        <w:t>款的规定撤销相关许可决定的，被许可人的合法权益受到损害的，行政机关应当依法给予赔偿。依照本条第</w:t>
      </w:r>
      <w:r>
        <w:rPr>
          <w:rFonts w:ascii="仿宋_GB2312" w:hAnsi="仿宋" w:eastAsia="仿宋_GB2312" w:cs="仿宋"/>
          <w:sz w:val="32"/>
          <w:szCs w:val="32"/>
        </w:rPr>
        <w:t>2</w:t>
      </w:r>
      <w:r>
        <w:rPr>
          <w:rFonts w:hint="eastAsia" w:ascii="仿宋_GB2312" w:hAnsi="仿宋" w:eastAsia="仿宋_GB2312" w:cs="仿宋"/>
          <w:sz w:val="32"/>
          <w:szCs w:val="32"/>
        </w:rPr>
        <w:t>款的规定撤销相关许可决定的，被许可人基于行政许可取得的利益不受保护。</w:t>
      </w:r>
    </w:p>
    <w:p>
      <w:pPr>
        <w:adjustRightInd w:val="0"/>
        <w:snapToGrid w:val="0"/>
        <w:spacing w:line="600" w:lineRule="exact"/>
        <w:rPr>
          <w:rFonts w:ascii="仿宋_GB2312" w:eastAsia="仿宋_GB2312"/>
          <w:sz w:val="32"/>
          <w:szCs w:val="32"/>
        </w:rPr>
      </w:pPr>
      <w:r>
        <w:rPr>
          <w:rFonts w:hint="eastAsia" w:ascii="仿宋_GB2312" w:hAnsi="仿宋" w:eastAsia="仿宋_GB2312" w:cs="仿宋"/>
          <w:sz w:val="32"/>
          <w:szCs w:val="32"/>
        </w:rPr>
        <w:t>　</w:t>
      </w: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NWNhYzUwOTIyNDg3NzlkMWVjMGY4YWE5OGZhZDMifQ=="/>
  </w:docVars>
  <w:rsids>
    <w:rsidRoot w:val="00374AC7"/>
    <w:rsid w:val="002D4B93"/>
    <w:rsid w:val="00374AC7"/>
    <w:rsid w:val="003B17C9"/>
    <w:rsid w:val="003D0922"/>
    <w:rsid w:val="004062FE"/>
    <w:rsid w:val="00540074"/>
    <w:rsid w:val="0054511B"/>
    <w:rsid w:val="0058353F"/>
    <w:rsid w:val="006E31E7"/>
    <w:rsid w:val="008F07D7"/>
    <w:rsid w:val="00947AE6"/>
    <w:rsid w:val="009A00DF"/>
    <w:rsid w:val="00A0590E"/>
    <w:rsid w:val="00A86358"/>
    <w:rsid w:val="00D41570"/>
    <w:rsid w:val="00D918C9"/>
    <w:rsid w:val="00E83CC5"/>
    <w:rsid w:val="07470E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6"/>
    <w:link w:val="2"/>
    <w:locked/>
    <w:uiPriority w:val="99"/>
    <w:rPr>
      <w:rFonts w:cs="Times New Roman"/>
      <w:b/>
      <w:bCs/>
      <w:kern w:val="44"/>
      <w:sz w:val="44"/>
      <w:szCs w:val="44"/>
    </w:rPr>
  </w:style>
  <w:style w:type="character" w:customStyle="1" w:styleId="8">
    <w:name w:val="Header Char"/>
    <w:basedOn w:val="6"/>
    <w:link w:val="4"/>
    <w:qFormat/>
    <w:locked/>
    <w:uiPriority w:val="99"/>
    <w:rPr>
      <w:rFonts w:cs="Times New Roman"/>
      <w:sz w:val="18"/>
      <w:szCs w:val="18"/>
    </w:rPr>
  </w:style>
  <w:style w:type="character" w:customStyle="1" w:styleId="9">
    <w:name w:val="Footer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P R C</Company>
  <Pages>22</Pages>
  <Words>8127</Words>
  <Characters>8168</Characters>
  <Lines>0</Lines>
  <Paragraphs>0</Paragraphs>
  <TotalTime>8</TotalTime>
  <ScaleCrop>false</ScaleCrop>
  <LinksUpToDate>false</LinksUpToDate>
  <CharactersWithSpaces>8335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2016-07-20T03:50:00Z</dcterms:created>
  <dc:creator>Windows User</dc:creator>
  <cp:lastModifiedBy>ちひろ</cp:lastModifiedBy>
  <dcterms:modified xsi:type="dcterms:W3CDTF">2023-02-23T02:00:30Z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7A2CC32DEC234CE08A66B9BC2D61C0DB</vt:lpwstr>
  </property>
</Properties>
</file>