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44" w:rsidRDefault="00051144" w:rsidP="00051144">
      <w:pPr>
        <w:widowControl/>
        <w:spacing w:line="420" w:lineRule="atLeast"/>
        <w:ind w:firstLine="645"/>
        <w:jc w:val="center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食药监部门情况</w:t>
      </w:r>
    </w:p>
    <w:p w:rsidR="00051144" w:rsidRPr="00051144" w:rsidRDefault="00051144" w:rsidP="00051144">
      <w:pPr>
        <w:widowControl/>
        <w:spacing w:line="420" w:lineRule="atLeast"/>
        <w:ind w:firstLine="645"/>
        <w:jc w:val="center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051144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一、部门主要职能：</w:t>
      </w:r>
    </w:p>
    <w:p w:rsidR="00051144" w:rsidRPr="00051144" w:rsidRDefault="00051144" w:rsidP="00051144">
      <w:pPr>
        <w:widowControl/>
        <w:spacing w:line="420" w:lineRule="atLeast"/>
        <w:ind w:firstLine="645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051144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一）贯彻执行食品（含食品添加剂、保健食品，下同）、药品（含中药、民族药，下同）、医疗器械、化妆品在生产、流通、消费环节监督管理的法律法规、政策及技术标准，推动食品、药品企业落实安全主体责任，落实食品药品（重大）信息报告制度，着力防范有效应对区域性、系统性食品药品安全风险。</w:t>
      </w:r>
    </w:p>
    <w:p w:rsidR="00051144" w:rsidRPr="00051144" w:rsidRDefault="00051144" w:rsidP="00051144">
      <w:pPr>
        <w:widowControl/>
        <w:spacing w:line="420" w:lineRule="atLeast"/>
        <w:ind w:firstLine="645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051144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二）负责粮食加工品、调味品、茶叶及相关制品、糕点、水果制品、蔬菜制品企业生产许可的受理、审批和发证、食品加工小作坊、食品生产企业委托加工的备案和监督管理；负责食品流通的行政许可（含保健食品经营的备案）。</w:t>
      </w:r>
    </w:p>
    <w:p w:rsidR="00051144" w:rsidRPr="00051144" w:rsidRDefault="00051144" w:rsidP="00051144">
      <w:pPr>
        <w:widowControl/>
        <w:spacing w:line="420" w:lineRule="atLeast"/>
        <w:ind w:firstLine="645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051144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（三）负责食品经营者的食品经营许可。</w:t>
      </w:r>
    </w:p>
    <w:p w:rsidR="00051144" w:rsidRPr="00051144" w:rsidRDefault="00051144" w:rsidP="00051144">
      <w:pPr>
        <w:widowControl/>
        <w:spacing w:line="420" w:lineRule="atLeast"/>
        <w:ind w:firstLine="645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051144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（四）负责基层食品生产企业、加工小作坊、食品销售、餐饮服务经营环节监管和基层药品安全日常监管工作；承担辖区酒类食品安全监督管理职责。</w:t>
      </w:r>
    </w:p>
    <w:p w:rsidR="00051144" w:rsidRPr="00051144" w:rsidRDefault="00051144" w:rsidP="00051144">
      <w:pPr>
        <w:widowControl/>
        <w:spacing w:line="420" w:lineRule="atLeast"/>
        <w:ind w:firstLine="645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051144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（五）负责市局下放或委托的其他行政许可事项。落实执行食品安全隐患排查治理工作，制定落实全区食品安全检查年度计划和专项整顿治理方案。建立全区食品安全信息统一公布制度。</w:t>
      </w:r>
    </w:p>
    <w:p w:rsidR="00051144" w:rsidRPr="00051144" w:rsidRDefault="00051144" w:rsidP="00051144">
      <w:pPr>
        <w:widowControl/>
        <w:spacing w:line="420" w:lineRule="atLeast"/>
        <w:ind w:firstLine="645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051144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六）配合实施药品、医疗器械、化妆品的经营、使用质量管理规范。配合有关部门实施国家基本药物制度，组织实施处方药和非处方药分类管理制度。建立辖区药品不良反应和医疗器械不良事件监测体系，并开展监测工作。</w:t>
      </w:r>
    </w:p>
    <w:p w:rsidR="00051144" w:rsidRPr="00051144" w:rsidRDefault="00051144" w:rsidP="00051144">
      <w:pPr>
        <w:widowControl/>
        <w:spacing w:line="420" w:lineRule="atLeast"/>
        <w:ind w:firstLine="645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051144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（七）落实辖区食品、药品、医疗器械、化妆品的监督管理稽查制度，依法组织查处违法行为。组织开展问题产品召回和处置工作。</w:t>
      </w:r>
    </w:p>
    <w:p w:rsidR="00051144" w:rsidRPr="00051144" w:rsidRDefault="00051144" w:rsidP="00051144">
      <w:pPr>
        <w:widowControl/>
        <w:spacing w:line="420" w:lineRule="atLeast"/>
        <w:ind w:firstLine="645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051144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（八）负责全城区食品药品安全事故应急体系建设，组织和指导食品药品安全事故应急处置和调查处理工作，监督事故查处落实情况。</w:t>
      </w:r>
    </w:p>
    <w:p w:rsidR="00051144" w:rsidRPr="00051144" w:rsidRDefault="00051144" w:rsidP="00051144">
      <w:pPr>
        <w:widowControl/>
        <w:spacing w:line="420" w:lineRule="atLeast"/>
        <w:ind w:firstLine="645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051144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（九）负责制定全区食品药品安全科技发展规划并组织实施，推动城区电子监管追溯体系应用和信息化建设。</w:t>
      </w:r>
    </w:p>
    <w:p w:rsidR="00051144" w:rsidRPr="00051144" w:rsidRDefault="00051144" w:rsidP="00051144">
      <w:pPr>
        <w:widowControl/>
        <w:spacing w:line="420" w:lineRule="atLeast"/>
        <w:ind w:firstLine="645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051144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(十)组织开展食品药品安全科普宣传、教育工作，落实诚信体系建设。</w:t>
      </w:r>
    </w:p>
    <w:p w:rsidR="00051144" w:rsidRPr="00051144" w:rsidRDefault="00051144" w:rsidP="00051144">
      <w:pPr>
        <w:widowControl/>
        <w:spacing w:line="420" w:lineRule="atLeast"/>
        <w:ind w:firstLine="645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051144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（十一）指导各街道食品药品监督管理工作，依法行政，落实联合执法机制，完善行政执法与刑事司法衔接机制。</w:t>
      </w:r>
    </w:p>
    <w:p w:rsidR="00051144" w:rsidRPr="00051144" w:rsidRDefault="00051144" w:rsidP="00051144">
      <w:pPr>
        <w:widowControl/>
        <w:spacing w:line="420" w:lineRule="atLeast"/>
        <w:ind w:firstLine="645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051144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（十二）承担区食品安全委员会日常工作。负责食品安全监督管理综合协调，推动健全协调联动机制。督促检查各街道履行食品安全监督管理职责并负责考核评价。</w:t>
      </w:r>
    </w:p>
    <w:p w:rsidR="00051144" w:rsidRPr="00051144" w:rsidRDefault="00051144" w:rsidP="00051144">
      <w:pPr>
        <w:widowControl/>
        <w:spacing w:line="420" w:lineRule="atLeast"/>
        <w:ind w:firstLine="645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051144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（十三）承办区人民政府和区食品安全委员会交办的其他事项。</w:t>
      </w:r>
    </w:p>
    <w:p w:rsidR="00051144" w:rsidRPr="00051144" w:rsidRDefault="00051144" w:rsidP="00051144">
      <w:pPr>
        <w:widowControl/>
        <w:spacing w:line="600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051144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二、部门预算单位构成</w:t>
      </w:r>
    </w:p>
    <w:p w:rsidR="00051144" w:rsidRPr="00051144" w:rsidRDefault="00051144" w:rsidP="00051144">
      <w:pPr>
        <w:widowControl/>
        <w:spacing w:line="600" w:lineRule="atLeast"/>
        <w:ind w:firstLine="64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051144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lastRenderedPageBreak/>
        <w:t>一级预算部门：鱼峰区食品药品监督管理局</w:t>
      </w:r>
    </w:p>
    <w:p w:rsidR="00051144" w:rsidRPr="00051144" w:rsidRDefault="00051144" w:rsidP="00051144">
      <w:pPr>
        <w:widowControl/>
        <w:spacing w:line="420" w:lineRule="atLeast"/>
        <w:ind w:firstLine="645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051144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 </w:t>
      </w:r>
    </w:p>
    <w:p w:rsidR="00782A16" w:rsidRPr="00051144" w:rsidRDefault="00782A16" w:rsidP="00051144">
      <w:pPr>
        <w:jc w:val="left"/>
      </w:pPr>
    </w:p>
    <w:sectPr w:rsidR="00782A16" w:rsidRPr="00051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A16" w:rsidRDefault="00782A16" w:rsidP="00051144">
      <w:r>
        <w:separator/>
      </w:r>
    </w:p>
  </w:endnote>
  <w:endnote w:type="continuationSeparator" w:id="1">
    <w:p w:rsidR="00782A16" w:rsidRDefault="00782A16" w:rsidP="00051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A16" w:rsidRDefault="00782A16" w:rsidP="00051144">
      <w:r>
        <w:separator/>
      </w:r>
    </w:p>
  </w:footnote>
  <w:footnote w:type="continuationSeparator" w:id="1">
    <w:p w:rsidR="00782A16" w:rsidRDefault="00782A16" w:rsidP="000511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144"/>
    <w:rsid w:val="00051144"/>
    <w:rsid w:val="0078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1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11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1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11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2594">
                  <w:marLeft w:val="0"/>
                  <w:marRight w:val="0"/>
                  <w:marTop w:val="0"/>
                  <w:marBottom w:val="0"/>
                  <w:divBdr>
                    <w:top w:val="single" w:sz="6" w:space="0" w:color="F49D3C"/>
                    <w:left w:val="single" w:sz="6" w:space="0" w:color="F49D3C"/>
                    <w:bottom w:val="single" w:sz="6" w:space="30" w:color="F49D3C"/>
                    <w:right w:val="single" w:sz="6" w:space="0" w:color="F49D3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>微软中国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2016-12-20T09:09:00Z</dcterms:created>
  <dcterms:modified xsi:type="dcterms:W3CDTF">2016-12-20T09:09:00Z</dcterms:modified>
</cp:coreProperties>
</file>