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lang w:eastAsia="zh-CN"/>
        </w:rPr>
      </w:pPr>
    </w:p>
    <w:p>
      <w:pPr>
        <w:jc w:val="center"/>
        <w:rPr>
          <w:rFonts w:hint="eastAsia" w:ascii="黑体" w:eastAsia="黑体" w:cs="ArialUnicodeMS"/>
          <w:kern w:val="0"/>
          <w:sz w:val="52"/>
          <w:szCs w:val="52"/>
          <w:lang w:eastAsia="zh-CN"/>
        </w:rPr>
      </w:pPr>
    </w:p>
    <w:p>
      <w:pPr>
        <w:jc w:val="both"/>
        <w:rPr>
          <w:rFonts w:hint="eastAsia" w:ascii="黑体" w:eastAsia="黑体" w:cs="ArialUnicodeMS"/>
          <w:kern w:val="0"/>
          <w:sz w:val="52"/>
          <w:szCs w:val="52"/>
          <w:lang w:eastAsia="zh-CN"/>
        </w:rPr>
      </w:pPr>
    </w:p>
    <w:p>
      <w:pPr>
        <w:jc w:val="center"/>
        <w:rPr>
          <w:rFonts w:hint="eastAsia" w:ascii="黑体" w:eastAsia="黑体" w:cs="ArialUnicodeMS"/>
          <w:kern w:val="0"/>
          <w:sz w:val="52"/>
          <w:szCs w:val="52"/>
          <w:lang w:eastAsia="zh-CN"/>
        </w:rPr>
      </w:pPr>
    </w:p>
    <w:p>
      <w:pPr>
        <w:jc w:val="center"/>
        <w:rPr>
          <w:rFonts w:hint="eastAsia" w:ascii="黑体" w:eastAsia="黑体" w:cs="ArialUnicodeMS"/>
          <w:kern w:val="0"/>
          <w:sz w:val="52"/>
          <w:szCs w:val="52"/>
        </w:rPr>
      </w:pPr>
      <w:r>
        <w:rPr>
          <w:rFonts w:hint="eastAsia" w:ascii="黑体" w:eastAsia="黑体" w:cs="ArialUnicodeMS"/>
          <w:kern w:val="0"/>
          <w:sz w:val="52"/>
          <w:szCs w:val="52"/>
          <w:lang w:eastAsia="zh-CN"/>
        </w:rPr>
        <w:t>柳州市</w:t>
      </w:r>
      <w:r>
        <w:rPr>
          <w:rFonts w:hint="eastAsia" w:ascii="黑体" w:eastAsia="黑体" w:cs="ArialUnicodeMS"/>
          <w:kern w:val="0"/>
          <w:sz w:val="52"/>
          <w:szCs w:val="52"/>
        </w:rPr>
        <w:t>鱼峰区食品药品监督管理局</w:t>
      </w:r>
      <w:r>
        <w:rPr>
          <w:rFonts w:hint="eastAsia" w:ascii="黑体" w:eastAsia="黑体"/>
          <w:kern w:val="0"/>
          <w:sz w:val="52"/>
          <w:szCs w:val="52"/>
        </w:rPr>
        <w:t>2015</w:t>
      </w:r>
      <w:r>
        <w:rPr>
          <w:rFonts w:hint="eastAsia" w:ascii="黑体" w:eastAsia="黑体" w:cs="ArialUnicodeMS"/>
          <w:kern w:val="0"/>
          <w:sz w:val="52"/>
          <w:szCs w:val="52"/>
        </w:rPr>
        <w:t>年部门决算</w:t>
      </w:r>
    </w:p>
    <w:p>
      <w:pPr>
        <w:jc w:val="center"/>
        <w:rPr>
          <w:rFonts w:hint="eastAsia" w:ascii="黑体" w:eastAsia="黑体" w:cs="ArialUnicodeMS"/>
          <w:kern w:val="0"/>
          <w:sz w:val="52"/>
          <w:szCs w:val="52"/>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ind w:firstLine="645"/>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第一部分：概况</w:t>
      </w:r>
    </w:p>
    <w:p>
      <w:pPr>
        <w:numPr>
          <w:ilvl w:val="0"/>
          <w:numId w:val="1"/>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部门主要职能</w:t>
      </w:r>
    </w:p>
    <w:p>
      <w:pPr>
        <w:numPr>
          <w:ilvl w:val="0"/>
          <w:numId w:val="1"/>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部门构成</w:t>
      </w:r>
    </w:p>
    <w:p>
      <w:pPr>
        <w:ind w:firstLine="645"/>
        <w:rPr>
          <w:rFonts w:hint="eastAsia" w:ascii="仿宋_GB2312" w:eastAsia="仿宋_GB2312"/>
          <w:b/>
          <w:sz w:val="32"/>
          <w:szCs w:val="32"/>
        </w:rPr>
      </w:pPr>
      <w:r>
        <w:rPr>
          <w:rFonts w:hint="eastAsia" w:ascii="仿宋_GB2312" w:eastAsia="仿宋_GB2312"/>
          <w:b/>
          <w:sz w:val="32"/>
          <w:szCs w:val="32"/>
        </w:rPr>
        <w:t>第二部分：部门决算报表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表二：财政拨款收入支出决算总表</w:t>
      </w:r>
    </w:p>
    <w:p>
      <w:pPr>
        <w:ind w:left="645"/>
        <w:rPr>
          <w:rFonts w:hint="eastAsia" w:ascii="仿宋_GB2312" w:eastAsia="仿宋_GB2312"/>
          <w:sz w:val="32"/>
          <w:szCs w:val="32"/>
        </w:rPr>
      </w:pPr>
      <w:r>
        <w:rPr>
          <w:rFonts w:hint="eastAsia" w:ascii="仿宋_GB2312" w:eastAsia="仿宋_GB2312"/>
          <w:sz w:val="32"/>
          <w:szCs w:val="32"/>
        </w:rPr>
        <w:t>表三：收入决算表</w:t>
      </w:r>
    </w:p>
    <w:p>
      <w:pPr>
        <w:ind w:left="645"/>
        <w:rPr>
          <w:rFonts w:hint="eastAsia" w:ascii="仿宋_GB2312" w:eastAsia="仿宋_GB2312"/>
          <w:sz w:val="32"/>
          <w:szCs w:val="32"/>
        </w:rPr>
      </w:pPr>
      <w:r>
        <w:rPr>
          <w:rFonts w:hint="eastAsia" w:ascii="仿宋_GB2312" w:eastAsia="仿宋_GB2312"/>
          <w:sz w:val="32"/>
          <w:szCs w:val="32"/>
        </w:rPr>
        <w:t>表四：支出决算表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表六：一般公共预算财政拨款支出决算明细表</w:t>
      </w:r>
    </w:p>
    <w:p>
      <w:pPr>
        <w:ind w:left="645"/>
        <w:rPr>
          <w:rFonts w:ascii="仿宋_GB2312" w:eastAsia="仿宋_GB2312"/>
          <w:sz w:val="32"/>
          <w:szCs w:val="32"/>
        </w:rPr>
      </w:pPr>
      <w:r>
        <w:rPr>
          <w:rFonts w:hint="eastAsia" w:ascii="仿宋_GB2312" w:eastAsia="仿宋_GB2312"/>
          <w:sz w:val="32"/>
          <w:szCs w:val="32"/>
        </w:rPr>
        <w:t>表七：政府性基金预算财政拨款收入支出决算表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表八：部门决算相关信息统计表</w:t>
      </w:r>
    </w:p>
    <w:p>
      <w:pPr>
        <w:ind w:left="645"/>
        <w:rPr>
          <w:rFonts w:hint="eastAsia" w:ascii="仿宋_GB2312" w:eastAsia="仿宋_GB2312"/>
          <w:sz w:val="32"/>
          <w:szCs w:val="32"/>
        </w:rPr>
      </w:pPr>
      <w:r>
        <w:rPr>
          <w:rFonts w:hint="eastAsia" w:ascii="仿宋_GB2312" w:eastAsia="仿宋_GB2312"/>
          <w:sz w:val="32"/>
          <w:szCs w:val="32"/>
          <w:lang w:eastAsia="zh-CN"/>
        </w:rPr>
        <w:t>表九：基本支出决算明细表</w:t>
      </w:r>
    </w:p>
    <w:p>
      <w:pPr>
        <w:ind w:firstLine="645"/>
        <w:rPr>
          <w:rFonts w:hint="eastAsia" w:ascii="仿宋_GB2312" w:eastAsia="仿宋_GB2312"/>
          <w:b/>
          <w:sz w:val="32"/>
          <w:szCs w:val="32"/>
        </w:rPr>
      </w:pPr>
      <w:r>
        <w:rPr>
          <w:rFonts w:hint="eastAsia" w:ascii="仿宋_GB2312" w:eastAsia="仿宋_GB2312"/>
          <w:b/>
          <w:sz w:val="32"/>
          <w:szCs w:val="32"/>
        </w:rPr>
        <w:t>第三部分：部门决算情况说明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sz w:val="32"/>
          <w:szCs w:val="32"/>
        </w:rPr>
        <w:t>一般</w:t>
      </w:r>
      <w:r>
        <w:rPr>
          <w:rFonts w:hint="eastAsia" w:ascii="仿宋_GB2312" w:eastAsia="仿宋_GB2312" w:cs="仿宋_GB2312"/>
          <w:kern w:val="0"/>
          <w:sz w:val="32"/>
          <w:szCs w:val="32"/>
        </w:rPr>
        <w:t>公共预算支出决算情况。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sz w:val="32"/>
          <w:szCs w:val="32"/>
        </w:rPr>
        <w:t>一般</w:t>
      </w:r>
      <w:r>
        <w:rPr>
          <w:rFonts w:hint="eastAsia" w:ascii="仿宋_GB2312" w:eastAsia="仿宋_GB2312" w:cs="仿宋_GB2312"/>
          <w:kern w:val="0"/>
          <w:sz w:val="32"/>
          <w:szCs w:val="32"/>
        </w:rPr>
        <w:t>公共预算安排的“</w:t>
      </w:r>
      <w:r>
        <w:rPr>
          <w:rFonts w:ascii="仿宋_GB2312" w:eastAsia="仿宋_GB2312" w:cs="仿宋_GB2312"/>
          <w:kern w:val="0"/>
          <w:sz w:val="32"/>
          <w:szCs w:val="32"/>
        </w:rPr>
        <w:t>三公</w:t>
      </w:r>
      <w:r>
        <w:rPr>
          <w:rFonts w:hint="eastAsia" w:ascii="仿宋_GB2312" w:eastAsia="仿宋_GB2312" w:cs="仿宋_GB2312"/>
          <w:kern w:val="0"/>
          <w:sz w:val="32"/>
          <w:szCs w:val="32"/>
        </w:rPr>
        <w:t>“</w:t>
      </w:r>
      <w:r>
        <w:rPr>
          <w:rFonts w:ascii="仿宋_GB2312" w:eastAsia="仿宋_GB2312" w:cs="仿宋_GB2312"/>
          <w:kern w:val="0"/>
          <w:sz w:val="32"/>
          <w:szCs w:val="32"/>
        </w:rPr>
        <w:t>经费</w:t>
      </w:r>
      <w:r>
        <w:rPr>
          <w:rFonts w:hint="eastAsia" w:ascii="仿宋_GB2312" w:eastAsia="仿宋_GB2312" w:cs="仿宋_GB2312"/>
          <w:kern w:val="0"/>
          <w:sz w:val="32"/>
          <w:szCs w:val="32"/>
        </w:rPr>
        <w:t>支出决算情况说明。</w:t>
      </w:r>
    </w:p>
    <w:p>
      <w:pPr>
        <w:keepNext w:val="0"/>
        <w:keepLines w:val="0"/>
        <w:widowControl/>
        <w:suppressLineNumbers w:val="0"/>
        <w:snapToGrid w:val="0"/>
        <w:spacing w:before="0" w:beforeAutospacing="0" w:after="0" w:afterAutospacing="0" w:line="420" w:lineRule="atLeast"/>
        <w:ind w:left="0" w:right="0" w:firstLine="645"/>
        <w:jc w:val="left"/>
        <w:rPr>
          <w:rFonts w:hint="default" w:ascii="仿宋" w:hAnsi="仿宋" w:eastAsia="仿宋" w:cs="仿宋"/>
          <w:b/>
          <w:bCs w:val="0"/>
          <w:color w:val="000000"/>
          <w:kern w:val="0"/>
          <w:sz w:val="24"/>
          <w:szCs w:val="24"/>
          <w:lang w:val="en-US" w:eastAsia="zh-CN" w:bidi="ar"/>
        </w:rPr>
      </w:pPr>
    </w:p>
    <w:p>
      <w:pPr>
        <w:ind w:firstLine="645"/>
        <w:jc w:val="center"/>
        <w:rPr>
          <w:rFonts w:hint="default" w:ascii="仿宋_GB2312" w:eastAsia="仿宋_GB2312"/>
          <w:sz w:val="32"/>
          <w:szCs w:val="32"/>
          <w:lang w:val="en-US" w:eastAsia="zh-CN"/>
        </w:rPr>
      </w:pPr>
      <w:r>
        <w:rPr>
          <w:rFonts w:hint="eastAsia" w:ascii="仿宋_GB2312" w:eastAsia="仿宋_GB2312"/>
          <w:b/>
          <w:sz w:val="32"/>
          <w:szCs w:val="32"/>
        </w:rPr>
        <w:t>第一部分：概况</w:t>
      </w:r>
    </w:p>
    <w:p>
      <w:pPr>
        <w:ind w:left="645"/>
        <w:rPr>
          <w:rFonts w:hint="eastAsia" w:ascii="仿宋_GB2312" w:eastAsia="仿宋_GB2312"/>
          <w:sz w:val="32"/>
          <w:szCs w:val="32"/>
        </w:rPr>
      </w:pPr>
      <w:r>
        <w:rPr>
          <w:rFonts w:hint="default" w:ascii="仿宋_GB2312" w:eastAsia="仿宋_GB2312"/>
          <w:sz w:val="32"/>
          <w:szCs w:val="32"/>
          <w:lang w:val="en-US" w:eastAsia="zh-CN"/>
        </w:rPr>
        <w:t>一、部门主要职能：</w:t>
      </w:r>
    </w:p>
    <w:p>
      <w:pPr>
        <w:ind w:left="645"/>
        <w:rPr>
          <w:rFonts w:hint="default" w:ascii="仿宋_GB2312" w:eastAsia="仿宋_GB2312"/>
          <w:sz w:val="32"/>
          <w:szCs w:val="32"/>
        </w:rPr>
      </w:pPr>
      <w:r>
        <w:rPr>
          <w:rFonts w:hint="default" w:ascii="仿宋_GB2312" w:eastAsia="仿宋_GB2312"/>
          <w:sz w:val="32"/>
          <w:szCs w:val="32"/>
          <w:lang w:val="en-US" w:eastAsia="zh-CN"/>
        </w:rPr>
        <w:t>（一）贯彻执行食品（含食品添加剂、保健食品，下同）、药品（含中药、民族药，下同）、医疗器械、化妆品在生产、流通、消费环节监督管理的法律法规、政策及技术标准，推动食品、药品企业落实安全主体责任，落实食品药品（重大）信息报告制度，着力防范有效应对区域性、系统性食品药品安全风险。</w:t>
      </w:r>
    </w:p>
    <w:p>
      <w:pPr>
        <w:ind w:left="645"/>
        <w:rPr>
          <w:rFonts w:hint="default" w:ascii="仿宋_GB2312" w:eastAsia="仿宋_GB2312"/>
          <w:sz w:val="32"/>
          <w:szCs w:val="32"/>
        </w:rPr>
      </w:pPr>
      <w:r>
        <w:rPr>
          <w:rFonts w:hint="default" w:ascii="仿宋_GB2312" w:eastAsia="仿宋_GB2312"/>
          <w:sz w:val="32"/>
          <w:szCs w:val="32"/>
          <w:lang w:val="en-US" w:eastAsia="zh-CN"/>
        </w:rPr>
        <w:t>（二）负责粮食加工品、调味品、茶叶及相关制品、糕点、水果制品、蔬菜制品企业生产许可的受理、审批和发证、食品加工小作坊、食品生产企业委托加工的备案和监督管理；负责食品流通的行政许可（含保健食品经营的备案）。</w:t>
      </w:r>
    </w:p>
    <w:p>
      <w:pPr>
        <w:ind w:left="645"/>
        <w:rPr>
          <w:rFonts w:hint="default" w:ascii="仿宋_GB2312" w:eastAsia="仿宋_GB2312"/>
          <w:sz w:val="32"/>
          <w:szCs w:val="32"/>
        </w:rPr>
      </w:pPr>
      <w:r>
        <w:rPr>
          <w:rFonts w:hint="default" w:ascii="仿宋_GB2312" w:eastAsia="仿宋_GB2312"/>
          <w:sz w:val="32"/>
          <w:szCs w:val="32"/>
          <w:lang w:val="en-US" w:eastAsia="zh-CN"/>
        </w:rPr>
        <w:t>（三）负责食品经营者的食品经营许可。</w:t>
      </w:r>
    </w:p>
    <w:p>
      <w:pPr>
        <w:ind w:left="645"/>
        <w:rPr>
          <w:rFonts w:hint="default" w:ascii="仿宋_GB2312" w:eastAsia="仿宋_GB2312"/>
          <w:sz w:val="32"/>
          <w:szCs w:val="32"/>
        </w:rPr>
      </w:pPr>
      <w:r>
        <w:rPr>
          <w:rFonts w:hint="default" w:ascii="仿宋_GB2312" w:eastAsia="仿宋_GB2312"/>
          <w:sz w:val="32"/>
          <w:szCs w:val="32"/>
          <w:lang w:val="en-US" w:eastAsia="zh-CN"/>
        </w:rPr>
        <w:t>（四）负责基层食品生产企业、加工小作坊、食品销售、餐饮服务经营环节监管和基层药品安全日常监管工作；承担辖区酒类食品安全监督管理职责。</w:t>
      </w:r>
    </w:p>
    <w:p>
      <w:pPr>
        <w:ind w:left="645"/>
        <w:rPr>
          <w:rFonts w:hint="default" w:ascii="仿宋_GB2312" w:eastAsia="仿宋_GB2312"/>
          <w:sz w:val="32"/>
          <w:szCs w:val="32"/>
        </w:rPr>
      </w:pPr>
      <w:r>
        <w:rPr>
          <w:rFonts w:hint="default" w:ascii="仿宋_GB2312" w:eastAsia="仿宋_GB2312"/>
          <w:sz w:val="32"/>
          <w:szCs w:val="32"/>
          <w:lang w:val="en-US" w:eastAsia="zh-CN"/>
        </w:rPr>
        <w:t>（五）负责市局下放或委托的其他行政许可事项。落实执行食品安全隐患排查治理工作，制定落实全区食品安全检查年度计划和专项整顿治理方案。建立全区食品安全信息统一公布制度。</w:t>
      </w:r>
    </w:p>
    <w:p>
      <w:pPr>
        <w:ind w:left="645"/>
        <w:rPr>
          <w:rFonts w:hint="default" w:ascii="仿宋_GB2312" w:eastAsia="仿宋_GB2312"/>
          <w:sz w:val="32"/>
          <w:szCs w:val="32"/>
        </w:rPr>
      </w:pPr>
      <w:r>
        <w:rPr>
          <w:rFonts w:hint="default" w:ascii="仿宋_GB2312" w:eastAsia="仿宋_GB2312"/>
          <w:sz w:val="32"/>
          <w:szCs w:val="32"/>
          <w:lang w:val="en-US" w:eastAsia="zh-CN"/>
        </w:rPr>
        <w:t>（六）配合实施药品、医疗器械、化妆品的经营、使用质量管理规范。配合有关部门实施国家基本药物制度，组织实施处方药和非处方药分类管理制度。建立辖区药品不良反应和医疗器械不良事件监测体系，并开展监测工作。</w:t>
      </w:r>
    </w:p>
    <w:p>
      <w:pPr>
        <w:ind w:left="645"/>
        <w:rPr>
          <w:rFonts w:hint="default" w:ascii="仿宋_GB2312" w:eastAsia="仿宋_GB2312"/>
          <w:sz w:val="32"/>
          <w:szCs w:val="32"/>
        </w:rPr>
      </w:pPr>
      <w:r>
        <w:rPr>
          <w:rFonts w:hint="default" w:ascii="仿宋_GB2312" w:eastAsia="仿宋_GB2312"/>
          <w:sz w:val="32"/>
          <w:szCs w:val="32"/>
          <w:lang w:val="en-US" w:eastAsia="zh-CN"/>
        </w:rPr>
        <w:t>（七）落实辖区食品、药品、医疗器械、化妆品的监督管理稽查制度，依法组织查处违法行为。组织开展问题产品召回和处置工作。</w:t>
      </w:r>
    </w:p>
    <w:p>
      <w:pPr>
        <w:ind w:left="645"/>
        <w:rPr>
          <w:rFonts w:hint="default" w:ascii="仿宋_GB2312" w:eastAsia="仿宋_GB2312"/>
          <w:sz w:val="32"/>
          <w:szCs w:val="32"/>
        </w:rPr>
      </w:pPr>
      <w:r>
        <w:rPr>
          <w:rFonts w:hint="default" w:ascii="仿宋_GB2312" w:eastAsia="仿宋_GB2312"/>
          <w:sz w:val="32"/>
          <w:szCs w:val="32"/>
          <w:lang w:val="en-US" w:eastAsia="zh-CN"/>
        </w:rPr>
        <w:t>（八）负责全城区食品药品安全事故应急体系建设，组织和指导食品药品安全事故应急处置和调查处理工作，监督事故查处落实情况。</w:t>
      </w:r>
    </w:p>
    <w:p>
      <w:pPr>
        <w:ind w:left="645"/>
        <w:rPr>
          <w:rFonts w:hint="default" w:ascii="仿宋_GB2312" w:eastAsia="仿宋_GB2312"/>
          <w:sz w:val="32"/>
          <w:szCs w:val="32"/>
        </w:rPr>
      </w:pPr>
      <w:r>
        <w:rPr>
          <w:rFonts w:hint="default" w:ascii="仿宋_GB2312" w:eastAsia="仿宋_GB2312"/>
          <w:sz w:val="32"/>
          <w:szCs w:val="32"/>
          <w:lang w:val="en-US" w:eastAsia="zh-CN"/>
        </w:rPr>
        <w:t>（九）负责制定全区食品药品安全科技发展规划并组织实施，推动城区电子监管追溯体系应用和信息化建设。</w:t>
      </w:r>
    </w:p>
    <w:p>
      <w:pPr>
        <w:ind w:left="645"/>
        <w:rPr>
          <w:rFonts w:hint="default" w:ascii="仿宋_GB2312" w:eastAsia="仿宋_GB2312"/>
          <w:sz w:val="32"/>
          <w:szCs w:val="32"/>
        </w:rPr>
      </w:pPr>
      <w:r>
        <w:rPr>
          <w:rFonts w:hint="default" w:ascii="仿宋_GB2312" w:eastAsia="仿宋_GB2312"/>
          <w:sz w:val="32"/>
          <w:szCs w:val="32"/>
          <w:lang w:val="en-US" w:eastAsia="zh-CN"/>
        </w:rPr>
        <w:t>(十)组织开展食品药品安全科普宣传、教育工作，落实诚信体系建设。</w:t>
      </w:r>
    </w:p>
    <w:p>
      <w:pPr>
        <w:ind w:left="645"/>
        <w:rPr>
          <w:rFonts w:hint="default" w:ascii="仿宋_GB2312" w:eastAsia="仿宋_GB2312"/>
          <w:sz w:val="32"/>
          <w:szCs w:val="32"/>
        </w:rPr>
      </w:pPr>
      <w:r>
        <w:rPr>
          <w:rFonts w:hint="default" w:ascii="仿宋_GB2312" w:eastAsia="仿宋_GB2312"/>
          <w:sz w:val="32"/>
          <w:szCs w:val="32"/>
          <w:lang w:val="en-US" w:eastAsia="zh-CN"/>
        </w:rPr>
        <w:t>（十一）指导各街道食品药品监督管理工作，依法行政，落实联合执法机制，完善行政执法与刑事司法衔接机制。</w:t>
      </w:r>
    </w:p>
    <w:p>
      <w:pPr>
        <w:ind w:left="645"/>
        <w:rPr>
          <w:rFonts w:hint="default" w:ascii="仿宋_GB2312" w:eastAsia="仿宋_GB2312"/>
          <w:sz w:val="32"/>
          <w:szCs w:val="32"/>
        </w:rPr>
      </w:pPr>
      <w:r>
        <w:rPr>
          <w:rFonts w:hint="default" w:ascii="仿宋_GB2312" w:eastAsia="仿宋_GB2312"/>
          <w:sz w:val="32"/>
          <w:szCs w:val="32"/>
          <w:lang w:val="en-US" w:eastAsia="zh-CN"/>
        </w:rPr>
        <w:t>（十二）承担区食品安全委员会日常工作。负责食品安全监督管理综合协调，推动健全协调联动机制。督促检查各街道履行食品安全监督管理职责并负责考核评价。</w:t>
      </w:r>
    </w:p>
    <w:p>
      <w:pPr>
        <w:ind w:left="645"/>
        <w:rPr>
          <w:rFonts w:hint="default" w:ascii="仿宋_GB2312" w:eastAsia="仿宋_GB2312"/>
          <w:sz w:val="32"/>
          <w:szCs w:val="32"/>
        </w:rPr>
      </w:pPr>
      <w:r>
        <w:rPr>
          <w:rFonts w:hint="default" w:ascii="仿宋_GB2312" w:eastAsia="仿宋_GB2312"/>
          <w:sz w:val="32"/>
          <w:szCs w:val="32"/>
          <w:lang w:val="en-US" w:eastAsia="zh-CN"/>
        </w:rPr>
        <w:t>（十三）承办区人民政府和区食品安全委员会交办的其他事项。</w:t>
      </w:r>
    </w:p>
    <w:p>
      <w:pPr>
        <w:ind w:left="645"/>
        <w:rPr>
          <w:rFonts w:hint="default" w:ascii="仿宋_GB2312" w:eastAsia="仿宋_GB2312"/>
          <w:sz w:val="32"/>
          <w:szCs w:val="32"/>
          <w:lang w:val="en-US" w:eastAsia="zh-CN"/>
        </w:rPr>
      </w:pPr>
    </w:p>
    <w:p>
      <w:pPr>
        <w:ind w:left="645"/>
        <w:rPr>
          <w:rFonts w:hint="default" w:ascii="仿宋_GB2312" w:eastAsia="仿宋_GB2312"/>
          <w:sz w:val="32"/>
          <w:szCs w:val="32"/>
        </w:rPr>
      </w:pPr>
      <w:r>
        <w:rPr>
          <w:rFonts w:hint="default" w:ascii="仿宋_GB2312" w:eastAsia="仿宋_GB2312"/>
          <w:sz w:val="32"/>
          <w:szCs w:val="32"/>
          <w:lang w:val="en-US" w:eastAsia="zh-CN"/>
        </w:rPr>
        <w:t>二、部门构成</w:t>
      </w:r>
    </w:p>
    <w:p>
      <w:pPr>
        <w:ind w:left="645"/>
        <w:rPr>
          <w:rFonts w:hint="default" w:ascii="仿宋_GB2312" w:eastAsia="仿宋_GB2312"/>
          <w:sz w:val="32"/>
          <w:szCs w:val="32"/>
          <w:lang w:val="en-US" w:eastAsia="zh-CN"/>
        </w:rPr>
      </w:pPr>
      <w:r>
        <w:rPr>
          <w:rFonts w:hint="eastAsia" w:ascii="仿宋_GB2312" w:eastAsia="仿宋_GB2312"/>
          <w:sz w:val="32"/>
          <w:szCs w:val="32"/>
          <w:lang w:val="en-US" w:eastAsia="zh-CN"/>
        </w:rPr>
        <w:t>决算单位构成</w:t>
      </w:r>
      <w:r>
        <w:rPr>
          <w:rFonts w:hint="default" w:ascii="仿宋_GB2312" w:eastAsia="仿宋_GB2312"/>
          <w:sz w:val="32"/>
          <w:szCs w:val="32"/>
          <w:lang w:val="en-US" w:eastAsia="zh-CN"/>
        </w:rPr>
        <w:t>：鱼峰区食品药品监督管理局</w:t>
      </w:r>
    </w:p>
    <w:p>
      <w:pPr>
        <w:ind w:left="645"/>
        <w:rPr>
          <w:rFonts w:hint="default" w:ascii="仿宋_GB2312" w:eastAsia="仿宋_GB2312"/>
          <w:sz w:val="32"/>
          <w:szCs w:val="32"/>
          <w:lang w:val="en-US" w:eastAsia="zh-CN"/>
        </w:rPr>
      </w:pPr>
    </w:p>
    <w:p>
      <w:pPr>
        <w:ind w:left="645"/>
        <w:jc w:val="center"/>
        <w:rPr>
          <w:rFonts w:hint="eastAsia" w:ascii="仿宋_GB2312" w:eastAsia="仿宋_GB2312"/>
          <w:b/>
          <w:bCs/>
          <w:sz w:val="32"/>
          <w:szCs w:val="32"/>
        </w:rPr>
      </w:pPr>
      <w:r>
        <w:rPr>
          <w:rFonts w:hint="eastAsia" w:ascii="仿宋_GB2312" w:eastAsia="仿宋_GB2312"/>
          <w:b/>
          <w:bCs/>
          <w:sz w:val="32"/>
          <w:szCs w:val="32"/>
          <w:lang w:val="en-US" w:eastAsia="zh-CN"/>
        </w:rPr>
        <w:t>第二部分  部门决算报表</w:t>
      </w:r>
    </w:p>
    <w:p>
      <w:pPr>
        <w:ind w:left="645"/>
        <w:rPr>
          <w:rFonts w:hint="eastAsia" w:ascii="仿宋_GB2312" w:eastAsia="仿宋_GB2312"/>
          <w:sz w:val="32"/>
          <w:szCs w:val="32"/>
        </w:rPr>
      </w:pPr>
      <w:r>
        <w:rPr>
          <w:rFonts w:hint="eastAsia" w:ascii="仿宋_GB2312" w:eastAsia="仿宋_GB2312"/>
          <w:sz w:val="32"/>
          <w:szCs w:val="32"/>
          <w:lang w:val="en-US" w:eastAsia="zh-CN"/>
        </w:rPr>
        <w:t>（详见附表）</w:t>
      </w:r>
    </w:p>
    <w:p>
      <w:pPr>
        <w:rPr>
          <w:rFonts w:hint="eastAsia" w:ascii="仿宋_GB2312" w:eastAsia="仿宋_GB2312"/>
          <w:sz w:val="32"/>
          <w:szCs w:val="32"/>
        </w:rPr>
      </w:pPr>
    </w:p>
    <w:p>
      <w:pPr>
        <w:ind w:left="645"/>
        <w:jc w:val="center"/>
        <w:rPr>
          <w:rFonts w:hint="eastAsia" w:ascii="仿宋_GB2312" w:eastAsia="仿宋_GB2312"/>
          <w:b/>
          <w:bCs/>
          <w:sz w:val="32"/>
          <w:szCs w:val="32"/>
        </w:rPr>
      </w:pPr>
      <w:r>
        <w:rPr>
          <w:rFonts w:hint="eastAsia" w:ascii="仿宋_GB2312" w:eastAsia="仿宋_GB2312"/>
          <w:b/>
          <w:bCs/>
          <w:sz w:val="32"/>
          <w:szCs w:val="32"/>
          <w:lang w:val="en-US" w:eastAsia="zh-CN"/>
        </w:rPr>
        <w:t>第三部分：2015年度部门决算情况说明</w:t>
      </w:r>
    </w:p>
    <w:p>
      <w:pPr>
        <w:ind w:left="645"/>
        <w:rPr>
          <w:rFonts w:hint="eastAsia" w:ascii="仿宋_GB2312" w:eastAsia="仿宋_GB2312"/>
          <w:sz w:val="32"/>
          <w:szCs w:val="32"/>
        </w:rPr>
      </w:pPr>
      <w:r>
        <w:rPr>
          <w:rFonts w:hint="eastAsia" w:ascii="仿宋_GB2312" w:eastAsia="仿宋_GB2312"/>
          <w:sz w:val="32"/>
          <w:szCs w:val="32"/>
          <w:lang w:val="en-US" w:eastAsia="zh-CN"/>
        </w:rPr>
        <w:t>一、2015年度收入支出决算总体情况</w:t>
      </w:r>
      <w:bookmarkStart w:id="0" w:name="_GoBack"/>
      <w:bookmarkEnd w:id="0"/>
    </w:p>
    <w:p>
      <w:pPr>
        <w:ind w:left="645"/>
        <w:rPr>
          <w:rFonts w:hint="eastAsia" w:ascii="仿宋_GB2312" w:eastAsia="仿宋_GB2312"/>
          <w:sz w:val="32"/>
          <w:szCs w:val="32"/>
        </w:rPr>
      </w:pPr>
      <w:r>
        <w:rPr>
          <w:rFonts w:hint="eastAsia" w:ascii="仿宋_GB2312" w:eastAsia="仿宋_GB2312"/>
          <w:sz w:val="32"/>
          <w:szCs w:val="32"/>
          <w:lang w:val="en-US" w:eastAsia="zh-CN"/>
        </w:rPr>
        <w:t>（一）收入总计  575.6    万元。</w:t>
      </w:r>
    </w:p>
    <w:p>
      <w:pPr>
        <w:ind w:left="645"/>
        <w:rPr>
          <w:rFonts w:hint="eastAsia" w:ascii="仿宋_GB2312" w:eastAsia="仿宋_GB2312"/>
          <w:sz w:val="32"/>
          <w:szCs w:val="32"/>
        </w:rPr>
      </w:pPr>
      <w:r>
        <w:rPr>
          <w:rFonts w:hint="eastAsia" w:ascii="仿宋_GB2312" w:eastAsia="仿宋_GB2312"/>
          <w:sz w:val="32"/>
          <w:szCs w:val="32"/>
          <w:lang w:val="en-US" w:eastAsia="zh-CN"/>
        </w:rPr>
        <w:t>1．财政拨款收入  563.68  万元，为鱼峰区本级财政当年拨付的资金。</w:t>
      </w:r>
    </w:p>
    <w:p>
      <w:pPr>
        <w:ind w:left="645"/>
        <w:rPr>
          <w:rFonts w:hint="eastAsia" w:ascii="仿宋_GB2312" w:eastAsia="仿宋_GB2312"/>
          <w:sz w:val="32"/>
          <w:szCs w:val="32"/>
        </w:rPr>
      </w:pPr>
      <w:r>
        <w:rPr>
          <w:rFonts w:hint="eastAsia" w:ascii="仿宋_GB2312" w:eastAsia="仿宋_GB2312"/>
          <w:sz w:val="32"/>
          <w:szCs w:val="32"/>
          <w:lang w:val="en-US" w:eastAsia="zh-CN"/>
        </w:rPr>
        <w:t>2．事业收入    0 万元，为事业单位开展业务活动取得的收入。如：计算机技术中心开展专业活动及辅助活动所取得的收入以及机关服务局后勤服务收入。</w:t>
      </w:r>
    </w:p>
    <w:p>
      <w:pPr>
        <w:ind w:left="645"/>
        <w:rPr>
          <w:rFonts w:hint="eastAsia" w:ascii="仿宋_GB2312" w:eastAsia="仿宋_GB2312"/>
          <w:sz w:val="32"/>
          <w:szCs w:val="32"/>
        </w:rPr>
      </w:pPr>
      <w:r>
        <w:rPr>
          <w:rFonts w:hint="eastAsia" w:ascii="仿宋_GB2312" w:eastAsia="仿宋_GB2312"/>
          <w:sz w:val="32"/>
          <w:szCs w:val="32"/>
          <w:lang w:val="en-US" w:eastAsia="zh-CN"/>
        </w:rPr>
        <w:t>3．经营收入   0  万，为事业单位在业务活动之外开展非独立核算经营活动取得的收入。</w:t>
      </w:r>
    </w:p>
    <w:p>
      <w:pPr>
        <w:ind w:left="645"/>
        <w:rPr>
          <w:rFonts w:hint="eastAsia" w:ascii="仿宋_GB2312" w:eastAsia="仿宋_GB2312"/>
          <w:sz w:val="32"/>
          <w:szCs w:val="32"/>
        </w:rPr>
      </w:pPr>
      <w:r>
        <w:rPr>
          <w:rFonts w:hint="eastAsia" w:ascii="仿宋_GB2312" w:eastAsia="仿宋_GB2312"/>
          <w:sz w:val="32"/>
          <w:szCs w:val="32"/>
          <w:lang w:val="en-US" w:eastAsia="zh-CN"/>
        </w:rPr>
        <w:t>4．其他收入  11.92   万元，为预算单位在“财政拨款收入”、“事业收入”、“经营收入”之外取得的收入。如：</w:t>
      </w:r>
    </w:p>
    <w:p>
      <w:pPr>
        <w:ind w:left="645"/>
        <w:rPr>
          <w:rFonts w:hint="eastAsia" w:ascii="仿宋_GB2312" w:eastAsia="仿宋_GB2312"/>
          <w:sz w:val="32"/>
          <w:szCs w:val="32"/>
        </w:rPr>
      </w:pPr>
      <w:r>
        <w:rPr>
          <w:rFonts w:hint="eastAsia" w:ascii="仿宋_GB2312" w:eastAsia="仿宋_GB2312"/>
          <w:sz w:val="32"/>
          <w:szCs w:val="32"/>
          <w:lang w:val="en-US" w:eastAsia="zh-CN"/>
        </w:rPr>
        <w:t>5．用事业基金弥补收支差额  0   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w:t>
      </w:r>
    </w:p>
    <w:p>
      <w:pPr>
        <w:ind w:left="645"/>
        <w:rPr>
          <w:rFonts w:hint="eastAsia" w:ascii="仿宋_GB2312" w:eastAsia="仿宋_GB2312"/>
          <w:sz w:val="32"/>
          <w:szCs w:val="32"/>
        </w:rPr>
      </w:pPr>
      <w:r>
        <w:rPr>
          <w:rFonts w:hint="eastAsia" w:ascii="仿宋_GB2312" w:eastAsia="仿宋_GB2312"/>
          <w:sz w:val="32"/>
          <w:szCs w:val="32"/>
          <w:lang w:val="en-US" w:eastAsia="zh-CN"/>
        </w:rPr>
        <w:t xml:space="preserve">   （二）支出总计  669.63  万元。包括： </w:t>
      </w:r>
    </w:p>
    <w:p>
      <w:pPr>
        <w:ind w:left="645"/>
        <w:rPr>
          <w:rFonts w:hint="eastAsia" w:ascii="仿宋_GB2312" w:eastAsia="仿宋_GB2312"/>
          <w:sz w:val="32"/>
          <w:szCs w:val="32"/>
        </w:rPr>
      </w:pPr>
      <w:r>
        <w:rPr>
          <w:rFonts w:hint="eastAsia" w:ascii="仿宋_GB2312" w:eastAsia="仿宋_GB2312"/>
          <w:sz w:val="32"/>
          <w:szCs w:val="32"/>
          <w:lang w:val="en-US" w:eastAsia="zh-CN"/>
        </w:rPr>
        <w:t>1．一般公共服务（类）  106.91  万元；</w:t>
      </w:r>
    </w:p>
    <w:p>
      <w:pPr>
        <w:ind w:left="645"/>
        <w:rPr>
          <w:rFonts w:hint="eastAsia" w:ascii="仿宋_GB2312" w:eastAsia="仿宋_GB2312"/>
          <w:sz w:val="32"/>
          <w:szCs w:val="32"/>
        </w:rPr>
      </w:pPr>
      <w:r>
        <w:rPr>
          <w:rFonts w:hint="eastAsia" w:ascii="仿宋_GB2312" w:eastAsia="仿宋_GB2312"/>
          <w:sz w:val="32"/>
          <w:szCs w:val="32"/>
          <w:lang w:val="en-US" w:eastAsia="zh-CN"/>
        </w:rPr>
        <w:t>2.  教育支出（类）14.03万元；</w:t>
      </w:r>
    </w:p>
    <w:p>
      <w:pPr>
        <w:ind w:left="645"/>
        <w:rPr>
          <w:rFonts w:hint="eastAsia" w:ascii="仿宋_GB2312" w:eastAsia="仿宋_GB2312"/>
          <w:sz w:val="32"/>
          <w:szCs w:val="32"/>
        </w:rPr>
      </w:pPr>
      <w:r>
        <w:rPr>
          <w:rFonts w:hint="eastAsia" w:ascii="仿宋_GB2312" w:eastAsia="仿宋_GB2312"/>
          <w:sz w:val="32"/>
          <w:szCs w:val="32"/>
          <w:lang w:val="en-US" w:eastAsia="zh-CN"/>
        </w:rPr>
        <w:t>3．社会保障和就业（类） 27.7万元；</w:t>
      </w:r>
    </w:p>
    <w:p>
      <w:pPr>
        <w:ind w:left="645"/>
        <w:rPr>
          <w:rFonts w:hint="eastAsia" w:ascii="仿宋_GB2312" w:eastAsia="仿宋_GB2312"/>
          <w:sz w:val="32"/>
          <w:szCs w:val="32"/>
        </w:rPr>
      </w:pPr>
      <w:r>
        <w:rPr>
          <w:rFonts w:hint="eastAsia" w:ascii="仿宋_GB2312" w:eastAsia="仿宋_GB2312"/>
          <w:sz w:val="32"/>
          <w:szCs w:val="32"/>
          <w:lang w:val="en-US" w:eastAsia="zh-CN"/>
        </w:rPr>
        <w:t>4. 医疗卫生与计划生育支出（类）17.79万元；</w:t>
      </w:r>
    </w:p>
    <w:p>
      <w:pPr>
        <w:ind w:left="645"/>
        <w:rPr>
          <w:rFonts w:hint="eastAsia" w:ascii="仿宋_GB2312" w:eastAsia="仿宋_GB2312"/>
          <w:sz w:val="32"/>
          <w:szCs w:val="32"/>
        </w:rPr>
      </w:pPr>
      <w:r>
        <w:rPr>
          <w:rFonts w:hint="eastAsia" w:ascii="仿宋_GB2312" w:eastAsia="仿宋_GB2312"/>
          <w:sz w:val="32"/>
          <w:szCs w:val="32"/>
          <w:lang w:val="en-US" w:eastAsia="zh-CN"/>
        </w:rPr>
        <w:t>5. 商业服务业等支出（类）0.08万元；</w:t>
      </w:r>
    </w:p>
    <w:p>
      <w:pPr>
        <w:ind w:left="645"/>
        <w:rPr>
          <w:rFonts w:hint="eastAsia" w:ascii="仿宋_GB2312" w:eastAsia="仿宋_GB2312"/>
          <w:sz w:val="32"/>
          <w:szCs w:val="32"/>
        </w:rPr>
      </w:pPr>
      <w:r>
        <w:rPr>
          <w:rFonts w:hint="eastAsia" w:ascii="仿宋_GB2312" w:eastAsia="仿宋_GB2312"/>
          <w:sz w:val="32"/>
          <w:szCs w:val="32"/>
          <w:lang w:val="en-US" w:eastAsia="zh-CN"/>
        </w:rPr>
        <w:t>6．住房保障支出（类）  33.44   万元。</w:t>
      </w:r>
    </w:p>
    <w:p>
      <w:pPr>
        <w:ind w:left="645"/>
        <w:rPr>
          <w:rFonts w:hint="eastAsia" w:ascii="仿宋_GB2312" w:eastAsia="仿宋_GB2312"/>
          <w:sz w:val="32"/>
          <w:szCs w:val="32"/>
        </w:rPr>
      </w:pPr>
      <w:r>
        <w:rPr>
          <w:rFonts w:hint="eastAsia" w:ascii="仿宋_GB2312" w:eastAsia="仿宋_GB2312"/>
          <w:sz w:val="32"/>
          <w:szCs w:val="32"/>
          <w:lang w:val="en-US" w:eastAsia="zh-CN"/>
        </w:rPr>
        <w:t>二、2015年度一般公共预算支出决算情况</w:t>
      </w:r>
    </w:p>
    <w:p>
      <w:pPr>
        <w:ind w:left="645"/>
        <w:rPr>
          <w:rFonts w:hint="eastAsia" w:ascii="仿宋_GB2312" w:eastAsia="仿宋_GB2312"/>
          <w:sz w:val="32"/>
          <w:szCs w:val="32"/>
        </w:rPr>
      </w:pPr>
      <w:r>
        <w:rPr>
          <w:rFonts w:hint="eastAsia" w:ascii="仿宋_GB2312" w:eastAsia="仿宋_GB2312"/>
          <w:sz w:val="32"/>
          <w:szCs w:val="32"/>
          <w:lang w:val="en-US" w:eastAsia="zh-CN"/>
        </w:rPr>
        <w:t>一般公共预算支出  666.08  万元，其中：基本支出     556.49万元，项目支出 109.6   万元。</w:t>
      </w:r>
    </w:p>
    <w:p>
      <w:pPr>
        <w:ind w:left="645"/>
        <w:rPr>
          <w:rFonts w:hint="eastAsia" w:ascii="仿宋_GB2312" w:eastAsia="仿宋_GB2312"/>
          <w:sz w:val="32"/>
          <w:szCs w:val="32"/>
        </w:rPr>
      </w:pPr>
      <w:r>
        <w:rPr>
          <w:rFonts w:hint="eastAsia" w:ascii="仿宋_GB2312" w:eastAsia="仿宋_GB2312"/>
          <w:sz w:val="32"/>
          <w:szCs w:val="32"/>
          <w:lang w:val="en-US" w:eastAsia="zh-CN"/>
        </w:rPr>
        <w:t xml:space="preserve">三、2015年度政府性基金支出决算情况 </w:t>
      </w:r>
    </w:p>
    <w:p>
      <w:pPr>
        <w:ind w:left="645"/>
        <w:rPr>
          <w:rFonts w:hint="eastAsia" w:ascii="仿宋_GB2312" w:eastAsia="仿宋_GB2312"/>
          <w:sz w:val="32"/>
          <w:szCs w:val="32"/>
        </w:rPr>
      </w:pPr>
      <w:r>
        <w:rPr>
          <w:rFonts w:hint="eastAsia" w:ascii="仿宋_GB2312" w:eastAsia="仿宋_GB2312"/>
          <w:sz w:val="32"/>
          <w:szCs w:val="32"/>
          <w:lang w:val="en-US" w:eastAsia="zh-CN"/>
        </w:rPr>
        <w:t>政府性基金支出   0 万元，其中：基本支出0 万元，项目支出   0  万元。</w:t>
      </w:r>
    </w:p>
    <w:p>
      <w:pPr>
        <w:ind w:left="645"/>
        <w:rPr>
          <w:rFonts w:hint="eastAsia" w:ascii="仿宋_GB2312" w:eastAsia="仿宋_GB2312"/>
          <w:sz w:val="32"/>
          <w:szCs w:val="32"/>
        </w:rPr>
      </w:pPr>
      <w:r>
        <w:rPr>
          <w:rFonts w:hint="eastAsia" w:ascii="仿宋_GB2312" w:eastAsia="仿宋_GB2312"/>
          <w:sz w:val="32"/>
          <w:szCs w:val="32"/>
          <w:lang w:val="en-US" w:eastAsia="zh-CN"/>
        </w:rPr>
        <w:t>四、一般公共预算安排的“三公”经费支出决算情况说明</w:t>
      </w:r>
    </w:p>
    <w:p>
      <w:pPr>
        <w:ind w:left="645"/>
        <w:rPr>
          <w:rFonts w:hint="eastAsia" w:ascii="仿宋_GB2312" w:eastAsia="仿宋_GB2312"/>
          <w:sz w:val="32"/>
          <w:szCs w:val="32"/>
        </w:rPr>
      </w:pPr>
      <w:r>
        <w:rPr>
          <w:rFonts w:hint="eastAsia" w:ascii="仿宋_GB2312" w:eastAsia="仿宋_GB2312"/>
          <w:sz w:val="32"/>
          <w:szCs w:val="32"/>
          <w:lang w:val="en-US" w:eastAsia="zh-CN"/>
        </w:rPr>
        <w:t>（一）因公出国（境）费支出 0 万元。全年使用财政拨款安排因公出国（境）团组共计 0  个，累计 0人次。</w:t>
      </w:r>
    </w:p>
    <w:p>
      <w:pPr>
        <w:ind w:left="645"/>
        <w:rPr>
          <w:rFonts w:hint="eastAsia" w:ascii="仿宋_GB2312" w:eastAsia="仿宋_GB2312"/>
          <w:sz w:val="32"/>
          <w:szCs w:val="32"/>
        </w:rPr>
      </w:pPr>
      <w:r>
        <w:rPr>
          <w:rFonts w:hint="eastAsia" w:ascii="仿宋_GB2312" w:eastAsia="仿宋_GB2312"/>
          <w:sz w:val="32"/>
          <w:szCs w:val="32"/>
          <w:lang w:val="en-US" w:eastAsia="zh-CN"/>
        </w:rPr>
        <w:t>（二）公务用车购置及运行费支出 10.75 万元。其中：</w:t>
      </w:r>
    </w:p>
    <w:p>
      <w:pPr>
        <w:ind w:left="645"/>
        <w:rPr>
          <w:rFonts w:hint="eastAsia" w:ascii="仿宋_GB2312" w:eastAsia="仿宋_GB2312"/>
          <w:sz w:val="32"/>
          <w:szCs w:val="32"/>
        </w:rPr>
      </w:pPr>
      <w:r>
        <w:rPr>
          <w:rFonts w:hint="eastAsia" w:ascii="仿宋_GB2312" w:eastAsia="仿宋_GB2312"/>
          <w:sz w:val="32"/>
          <w:szCs w:val="32"/>
          <w:lang w:val="en-US" w:eastAsia="zh-CN"/>
        </w:rPr>
        <w:t>公务用车购置支出   0 万元。公务用车运行支出10.75    万元。主要用于机要文件交换、市内因公出行以及开展  业务所需车辆燃料费、维修费、过路过桥费、保险费等。公务用车保有量为 2 辆，全年运行费支出 10.75 万元.</w:t>
      </w:r>
    </w:p>
    <w:p>
      <w:pPr>
        <w:ind w:left="645"/>
        <w:rPr>
          <w:rFonts w:hint="eastAsia" w:ascii="仿宋_GB2312" w:eastAsia="仿宋_GB2312"/>
          <w:sz w:val="32"/>
          <w:szCs w:val="32"/>
        </w:rPr>
      </w:pPr>
      <w:r>
        <w:rPr>
          <w:rFonts w:hint="eastAsia" w:ascii="仿宋_GB2312" w:eastAsia="仿宋_GB2312"/>
          <w:sz w:val="32"/>
          <w:szCs w:val="32"/>
          <w:lang w:val="en-US" w:eastAsia="zh-CN"/>
        </w:rPr>
        <w:t>（三）公务接待费支出 1.51万元。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894CC"/>
    <w:multiLevelType w:val="singleLevel"/>
    <w:tmpl w:val="585894C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C6411"/>
    <w:rsid w:val="5D1B7756"/>
    <w:rsid w:val="747026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000000"/>
      <w:sz w:val="18"/>
      <w:szCs w:val="18"/>
      <w:u w:val="none"/>
    </w:rPr>
  </w:style>
  <w:style w:type="character" w:styleId="6">
    <w:name w:val="Hyperlink"/>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2016-12-21T15:22:57Z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