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hAnsiTheme="minorHAnsi"/>
          <w:kern w:val="0"/>
          <w:sz w:val="52"/>
          <w:szCs w:val="52"/>
          <w:lang w:val="en-US" w:eastAsia="zh-CN" w:bidi="ar-SA"/>
        </w:rPr>
      </w:pPr>
    </w:p>
    <w:p>
      <w:pPr>
        <w:jc w:val="center"/>
        <w:rPr>
          <w:rFonts w:hint="eastAsia" w:ascii="黑体" w:eastAsia="黑体" w:cs="ArialUnicodeMS" w:hAnsiTheme="minorHAnsi"/>
          <w:kern w:val="0"/>
          <w:sz w:val="52"/>
          <w:szCs w:val="52"/>
          <w:lang w:val="en-US" w:eastAsia="zh-CN" w:bidi="ar-SA"/>
        </w:rPr>
      </w:pPr>
    </w:p>
    <w:p>
      <w:pPr>
        <w:jc w:val="center"/>
        <w:rPr>
          <w:rFonts w:hint="eastAsia" w:ascii="黑体" w:eastAsia="黑体" w:cs="ArialUnicodeMS" w:hAnsiTheme="minorHAnsi"/>
          <w:kern w:val="0"/>
          <w:sz w:val="52"/>
          <w:szCs w:val="52"/>
          <w:lang w:val="en-US" w:eastAsia="zh-CN" w:bidi="ar-SA"/>
        </w:rPr>
      </w:pPr>
    </w:p>
    <w:p>
      <w:pPr>
        <w:jc w:val="center"/>
        <w:rPr>
          <w:rFonts w:hint="eastAsia" w:ascii="黑体" w:eastAsia="黑体" w:cs="ArialUnicodeMS" w:hAnsiTheme="minorHAnsi"/>
          <w:kern w:val="0"/>
          <w:sz w:val="52"/>
          <w:szCs w:val="52"/>
          <w:lang w:val="en-US" w:eastAsia="zh-CN" w:bidi="ar-SA"/>
        </w:rPr>
      </w:pPr>
    </w:p>
    <w:p>
      <w:pPr>
        <w:jc w:val="center"/>
        <w:rPr>
          <w:rFonts w:hint="eastAsia" w:ascii="黑体" w:eastAsia="黑体" w:cs="ArialUnicodeMS" w:hAnsiTheme="minorHAnsi"/>
          <w:kern w:val="0"/>
          <w:sz w:val="52"/>
          <w:szCs w:val="52"/>
          <w:lang w:val="en-US" w:eastAsia="zh-CN" w:bidi="ar-SA"/>
        </w:rPr>
      </w:pPr>
    </w:p>
    <w:p>
      <w:pPr>
        <w:jc w:val="center"/>
        <w:rPr>
          <w:rFonts w:hint="eastAsia" w:ascii="黑体" w:eastAsia="黑体" w:cs="ArialUnicodeMS" w:hAnsiTheme="minorHAnsi"/>
          <w:kern w:val="0"/>
          <w:sz w:val="52"/>
          <w:szCs w:val="52"/>
          <w:lang w:val="en-US" w:eastAsia="zh-CN" w:bidi="ar-SA"/>
        </w:rPr>
      </w:pPr>
      <w:r>
        <w:rPr>
          <w:rFonts w:hint="eastAsia" w:ascii="黑体" w:eastAsia="黑体" w:cs="ArialUnicodeMS" w:hAnsiTheme="minorHAnsi"/>
          <w:kern w:val="0"/>
          <w:sz w:val="52"/>
          <w:szCs w:val="52"/>
          <w:lang w:val="en-US" w:eastAsia="zh-CN" w:bidi="ar-SA"/>
        </w:rPr>
        <w:t>柳州市鱼峰区残疾人联合会</w:t>
      </w:r>
    </w:p>
    <w:p>
      <w:pPr>
        <w:jc w:val="center"/>
        <w:rPr>
          <w:rFonts w:hint="eastAsia" w:ascii="黑体" w:eastAsia="黑体" w:cs="ArialUnicodeMS"/>
          <w:kern w:val="0"/>
          <w:sz w:val="52"/>
          <w:szCs w:val="52"/>
        </w:rPr>
      </w:pPr>
      <w:r>
        <w:rPr>
          <w:rFonts w:hint="eastAsia" w:ascii="黑体" w:eastAsia="黑体"/>
          <w:kern w:val="0"/>
          <w:sz w:val="52"/>
          <w:szCs w:val="52"/>
        </w:rPr>
        <w:t>2015</w:t>
      </w:r>
      <w:r>
        <w:rPr>
          <w:rFonts w:hint="eastAsia" w:ascii="黑体" w:eastAsia="黑体" w:cs="ArialUnicodeMS"/>
          <w:kern w:val="0"/>
          <w:sz w:val="52"/>
          <w:szCs w:val="52"/>
        </w:rPr>
        <w:t>年部门决算</w:t>
      </w:r>
    </w:p>
    <w:p>
      <w:pPr>
        <w:pStyle w:val="2"/>
        <w:keepNext w:val="0"/>
        <w:keepLines w:val="0"/>
        <w:widowControl/>
        <w:suppressLineNumbers w:val="0"/>
        <w:spacing w:before="0" w:beforeAutospacing="0" w:after="0" w:afterAutospacing="0" w:line="360" w:lineRule="auto"/>
        <w:ind w:left="0" w:right="0"/>
        <w:jc w:val="center"/>
        <w:rPr>
          <w:color w:val="000000" w:themeColor="text1"/>
          <w14:textFill>
            <w14:solidFill>
              <w14:schemeClr w14:val="tx1"/>
            </w14:solidFill>
          </w14:textFill>
        </w:rPr>
      </w:pPr>
    </w:p>
    <w:p>
      <w:pPr>
        <w:keepNext w:val="0"/>
        <w:keepLines w:val="0"/>
        <w:widowControl/>
        <w:suppressLineNumbers w:val="0"/>
        <w:snapToGrid w:val="0"/>
        <w:spacing w:before="0" w:beforeAutospacing="0" w:after="0" w:afterAutospacing="0" w:line="420" w:lineRule="atLeast"/>
        <w:ind w:left="0" w:right="0" w:firstLine="645"/>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ind w:firstLine="645"/>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第一部分：概况</w:t>
      </w:r>
    </w:p>
    <w:p>
      <w:pPr>
        <w:ind w:firstLine="645"/>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部门</w:t>
      </w:r>
      <w:r>
        <w:rPr>
          <w:rFonts w:hint="eastAsia" w:ascii="仿宋_GB2312" w:eastAsia="仿宋_GB2312"/>
          <w:sz w:val="32"/>
          <w:szCs w:val="32"/>
        </w:rPr>
        <w:t>主要职能</w:t>
      </w:r>
    </w:p>
    <w:p>
      <w:pPr>
        <w:ind w:firstLine="645"/>
        <w:rPr>
          <w:rFonts w:hint="eastAsia" w:ascii="仿宋_GB2312" w:eastAsia="仿宋_GB2312"/>
          <w:b/>
          <w:sz w:val="32"/>
          <w:szCs w:val="32"/>
        </w:rPr>
      </w:pPr>
      <w:r>
        <w:rPr>
          <w:rFonts w:hint="eastAsia" w:ascii="仿宋_GB2312" w:eastAsia="仿宋_GB2312"/>
          <w:sz w:val="32"/>
          <w:szCs w:val="32"/>
        </w:rPr>
        <w:t>二、部门构成</w:t>
      </w:r>
    </w:p>
    <w:p>
      <w:pPr>
        <w:ind w:firstLine="645"/>
        <w:rPr>
          <w:rFonts w:hint="eastAsia" w:ascii="仿宋_GB2312" w:eastAsia="仿宋_GB2312"/>
          <w:b/>
          <w:sz w:val="32"/>
          <w:szCs w:val="32"/>
        </w:rPr>
      </w:pPr>
      <w:r>
        <w:rPr>
          <w:rFonts w:hint="eastAsia" w:ascii="仿宋_GB2312" w:eastAsia="仿宋_GB2312"/>
          <w:b/>
          <w:sz w:val="32"/>
          <w:szCs w:val="32"/>
        </w:rPr>
        <w:t>第二部分：部门决算报表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表二：财政拨款收入支出决算总表</w:t>
      </w:r>
    </w:p>
    <w:p>
      <w:pPr>
        <w:ind w:left="645"/>
        <w:rPr>
          <w:rFonts w:hint="eastAsia" w:ascii="仿宋_GB2312" w:eastAsia="仿宋_GB2312"/>
          <w:sz w:val="32"/>
          <w:szCs w:val="32"/>
        </w:rPr>
      </w:pPr>
      <w:r>
        <w:rPr>
          <w:rFonts w:hint="eastAsia" w:ascii="仿宋_GB2312" w:eastAsia="仿宋_GB2312"/>
          <w:sz w:val="32"/>
          <w:szCs w:val="32"/>
        </w:rPr>
        <w:t>表三：收入决算表</w:t>
      </w:r>
    </w:p>
    <w:p>
      <w:pPr>
        <w:ind w:left="645"/>
        <w:rPr>
          <w:rFonts w:hint="eastAsia" w:ascii="仿宋_GB2312" w:eastAsia="仿宋_GB2312"/>
          <w:sz w:val="32"/>
          <w:szCs w:val="32"/>
        </w:rPr>
      </w:pPr>
      <w:r>
        <w:rPr>
          <w:rFonts w:hint="eastAsia" w:ascii="仿宋_GB2312" w:eastAsia="仿宋_GB2312"/>
          <w:sz w:val="32"/>
          <w:szCs w:val="32"/>
        </w:rPr>
        <w:t>表四：支出决算表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表六：一般公共预算财政拨款支出决算明细表</w:t>
      </w:r>
    </w:p>
    <w:p>
      <w:pPr>
        <w:ind w:left="645"/>
        <w:rPr>
          <w:rFonts w:ascii="仿宋_GB2312" w:eastAsia="仿宋_GB2312"/>
          <w:sz w:val="32"/>
          <w:szCs w:val="32"/>
        </w:rPr>
      </w:pPr>
      <w:r>
        <w:rPr>
          <w:rFonts w:hint="eastAsia" w:ascii="仿宋_GB2312" w:eastAsia="仿宋_GB2312"/>
          <w:sz w:val="32"/>
          <w:szCs w:val="32"/>
        </w:rPr>
        <w:t>表七：政府性基金预算财政拨款收入支出决算表</w:t>
      </w:r>
    </w:p>
    <w:p>
      <w:pPr>
        <w:ind w:left="645"/>
        <w:rPr>
          <w:rFonts w:hint="eastAsia" w:ascii="仿宋_GB2312" w:eastAsia="仿宋_GB2312"/>
          <w:sz w:val="32"/>
          <w:szCs w:val="32"/>
        </w:rPr>
      </w:pPr>
      <w:r>
        <w:rPr>
          <w:rFonts w:hint="eastAsia" w:ascii="仿宋_GB2312" w:eastAsia="仿宋_GB2312"/>
          <w:sz w:val="32"/>
          <w:szCs w:val="32"/>
        </w:rPr>
        <w:t>表八：部门决算相关信息统计表</w:t>
      </w:r>
    </w:p>
    <w:p>
      <w:pPr>
        <w:ind w:left="645"/>
        <w:rPr>
          <w:rFonts w:hint="eastAsia" w:ascii="仿宋_GB2312" w:eastAsia="仿宋_GB2312"/>
          <w:sz w:val="32"/>
          <w:szCs w:val="32"/>
        </w:rPr>
      </w:pPr>
      <w:r>
        <w:rPr>
          <w:rFonts w:hint="eastAsia" w:ascii="仿宋_GB2312" w:eastAsia="仿宋_GB2312"/>
          <w:sz w:val="32"/>
          <w:szCs w:val="32"/>
        </w:rPr>
        <w:t>表九：基本支出决算明细表</w:t>
      </w:r>
    </w:p>
    <w:p>
      <w:pPr>
        <w:ind w:firstLine="645"/>
        <w:rPr>
          <w:rFonts w:hint="eastAsia" w:ascii="仿宋_GB2312" w:eastAsia="仿宋_GB2312"/>
          <w:b/>
          <w:sz w:val="32"/>
          <w:szCs w:val="32"/>
        </w:rPr>
      </w:pPr>
      <w:r>
        <w:rPr>
          <w:rFonts w:hint="eastAsia" w:ascii="仿宋_GB2312" w:eastAsia="仿宋_GB2312"/>
          <w:b/>
          <w:sz w:val="32"/>
          <w:szCs w:val="32"/>
        </w:rPr>
        <w:t>第三部分：部门决算情况说明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一般</w:t>
      </w:r>
      <w:r>
        <w:rPr>
          <w:rFonts w:hint="eastAsia" w:ascii="仿宋_GB2312" w:eastAsia="仿宋_GB2312" w:cs="仿宋_GB2312"/>
          <w:kern w:val="0"/>
          <w:sz w:val="32"/>
          <w:szCs w:val="32"/>
        </w:rPr>
        <w:t>公共预算支出决算情况。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sz w:val="32"/>
          <w:szCs w:val="32"/>
        </w:rPr>
        <w:t>一般</w:t>
      </w:r>
      <w:r>
        <w:rPr>
          <w:rFonts w:hint="eastAsia" w:ascii="仿宋_GB2312" w:eastAsia="仿宋_GB2312" w:cs="仿宋_GB2312"/>
          <w:kern w:val="0"/>
          <w:sz w:val="32"/>
          <w:szCs w:val="32"/>
        </w:rPr>
        <w:t>公共预算安排的“</w:t>
      </w:r>
      <w:r>
        <w:rPr>
          <w:rFonts w:ascii="仿宋_GB2312" w:eastAsia="仿宋_GB2312" w:cs="仿宋_GB2312"/>
          <w:kern w:val="0"/>
          <w:sz w:val="32"/>
          <w:szCs w:val="32"/>
        </w:rPr>
        <w:t>三公</w:t>
      </w:r>
      <w:r>
        <w:rPr>
          <w:rFonts w:hint="eastAsia" w:ascii="仿宋_GB2312" w:eastAsia="仿宋_GB2312" w:cs="仿宋_GB2312"/>
          <w:kern w:val="0"/>
          <w:sz w:val="32"/>
          <w:szCs w:val="32"/>
        </w:rPr>
        <w:t>“</w:t>
      </w:r>
      <w:r>
        <w:rPr>
          <w:rFonts w:ascii="仿宋_GB2312" w:eastAsia="仿宋_GB2312" w:cs="仿宋_GB2312"/>
          <w:kern w:val="0"/>
          <w:sz w:val="32"/>
          <w:szCs w:val="32"/>
        </w:rPr>
        <w:t>经费</w:t>
      </w:r>
      <w:r>
        <w:rPr>
          <w:rFonts w:hint="eastAsia" w:ascii="仿宋_GB2312" w:eastAsia="仿宋_GB2312" w:cs="仿宋_GB2312"/>
          <w:kern w:val="0"/>
          <w:sz w:val="32"/>
          <w:szCs w:val="32"/>
        </w:rPr>
        <w:t>支出决算情况说明。</w:t>
      </w:r>
    </w:p>
    <w:p>
      <w:pPr>
        <w:keepNext w:val="0"/>
        <w:keepLines w:val="0"/>
        <w:widowControl/>
        <w:suppressLineNumbers w:val="0"/>
        <w:snapToGrid w:val="0"/>
        <w:spacing w:before="0" w:beforeAutospacing="0" w:after="0" w:afterAutospacing="0" w:line="420" w:lineRule="atLeast"/>
        <w:ind w:right="0"/>
        <w:jc w:val="left"/>
        <w:rPr>
          <w:rFonts w:hint="eastAsia" w:ascii="仿宋" w:hAnsi="仿宋" w:eastAsia="仿宋" w:cs="仿宋"/>
          <w:b w:val="0"/>
          <w:bCs/>
          <w:color w:val="000000"/>
          <w:kern w:val="0"/>
          <w:sz w:val="24"/>
          <w:szCs w:val="24"/>
          <w:lang w:val="en-US" w:eastAsia="zh-CN" w:bidi="ar"/>
        </w:rPr>
      </w:pPr>
    </w:p>
    <w:p>
      <w:pPr>
        <w:ind w:firstLine="645"/>
        <w:jc w:val="center"/>
        <w:rPr>
          <w:rFonts w:hint="eastAsia" w:ascii="仿宋" w:hAnsi="仿宋" w:eastAsia="仿宋" w:cs="仿宋"/>
          <w:b w:val="0"/>
          <w:bCs/>
          <w:color w:val="000000"/>
          <w:kern w:val="0"/>
          <w:sz w:val="24"/>
          <w:szCs w:val="24"/>
          <w:lang w:val="en-US" w:eastAsia="zh-CN" w:bidi="ar"/>
        </w:rPr>
      </w:pPr>
      <w:r>
        <w:rPr>
          <w:rFonts w:hint="eastAsia" w:ascii="仿宋_GB2312" w:eastAsia="仿宋_GB2312"/>
          <w:b/>
          <w:sz w:val="32"/>
          <w:szCs w:val="32"/>
        </w:rPr>
        <w:t>第一部分 概况</w:t>
      </w:r>
    </w:p>
    <w:p>
      <w:pPr>
        <w:ind w:firstLine="645"/>
        <w:rPr>
          <w:rFonts w:hint="default" w:ascii="仿宋_GB2312" w:eastAsia="仿宋_GB2312"/>
          <w:sz w:val="32"/>
          <w:szCs w:val="32"/>
          <w:lang w:eastAsia="zh-CN"/>
        </w:rPr>
      </w:pPr>
      <w:r>
        <w:rPr>
          <w:rFonts w:hint="eastAsia" w:ascii="仿宋_GB2312" w:eastAsia="仿宋_GB2312"/>
          <w:sz w:val="32"/>
          <w:szCs w:val="32"/>
          <w:lang w:val="en-US" w:eastAsia="zh-CN"/>
        </w:rPr>
        <w:t>一、</w:t>
      </w:r>
      <w:r>
        <w:rPr>
          <w:rFonts w:hint="default" w:ascii="仿宋_GB2312" w:eastAsia="仿宋_GB2312"/>
          <w:sz w:val="32"/>
          <w:szCs w:val="32"/>
          <w:lang w:val="en-US" w:eastAsia="zh-CN"/>
        </w:rPr>
        <w:t>部门主要职能：</w:t>
      </w:r>
    </w:p>
    <w:p>
      <w:pPr>
        <w:ind w:firstLine="645"/>
        <w:rPr>
          <w:rFonts w:hint="default" w:ascii="仿宋_GB2312" w:eastAsia="仿宋_GB2312"/>
          <w:sz w:val="32"/>
          <w:szCs w:val="32"/>
          <w:lang w:eastAsia="zh-CN"/>
        </w:rPr>
      </w:pPr>
      <w:r>
        <w:rPr>
          <w:rFonts w:hint="default" w:ascii="仿宋_GB2312" w:eastAsia="仿宋_GB2312"/>
          <w:sz w:val="32"/>
          <w:szCs w:val="32"/>
          <w:lang w:val="en-US" w:eastAsia="zh-CN"/>
        </w:rPr>
        <w:t>听取残疾人意见，反映残疾人需求，维护残疾人合法权益，为残疾人服务；团结、教育残疾人遵纪守法、履行应尽的义务，发扬乐观进取的精神。自尊、自信、自强、自立，为社会主义建设贡献力量；弘扬人道主义，宣传残疾人事业，沟通政府、社会与残疾人之间的联系，动员全社会理解、尊重、关心、帮助残疾人；组织开展残疾人康复、教育、培训、劳动就业、扶贫解困、文化、体育、用品用具供应、福利、社会服务、无障碍设施的使用、改造和残疾预防工作；贯彻执行党和国家关于残疾人工作的方针政策，协助政府研究、拟定和实施残疾人事业的有关政策、规划和计划，对残疾人事业的有关业务领域进行指导和管理；依靠政府和社会创造良好的环境和条件，扶助残疾人平等参与社会活动；共享社会精神文明成果，协调落实对残疾人的各种优惠政策；承担区政府残疾人工作委员会的日常工作；指导和管理街道残联、社区（村）残协组织和各专门协会的工作；承担区政府交办的其他工作。</w:t>
      </w:r>
    </w:p>
    <w:p>
      <w:pPr>
        <w:ind w:firstLine="645"/>
        <w:rPr>
          <w:rFonts w:hint="eastAsia" w:ascii="仿宋_GB2312" w:eastAsia="仿宋_GB2312"/>
          <w:sz w:val="32"/>
          <w:szCs w:val="32"/>
          <w:lang w:val="en-US" w:eastAsia="zh-CN"/>
        </w:rPr>
      </w:pP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部门构成</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决算单位构成：鱼峰区残疾人联合会</w:t>
      </w:r>
    </w:p>
    <w:p>
      <w:pPr>
        <w:ind w:firstLine="645"/>
        <w:rPr>
          <w:rFonts w:hint="eastAsia" w:ascii="仿宋_GB2312" w:eastAsia="仿宋_GB2312"/>
          <w:sz w:val="32"/>
          <w:szCs w:val="32"/>
          <w:lang w:val="en-US" w:eastAsia="zh-CN"/>
        </w:rPr>
      </w:pPr>
    </w:p>
    <w:p>
      <w:pPr>
        <w:ind w:firstLine="645"/>
        <w:rPr>
          <w:rFonts w:hint="eastAsia" w:ascii="仿宋_GB2312" w:eastAsia="仿宋_GB2312"/>
          <w:b/>
          <w:bCs/>
          <w:sz w:val="32"/>
          <w:szCs w:val="32"/>
          <w:lang w:eastAsia="zh-CN"/>
        </w:rPr>
      </w:pPr>
      <w:r>
        <w:rPr>
          <w:rFonts w:hint="eastAsia" w:ascii="仿宋_GB2312" w:eastAsia="仿宋_GB2312"/>
          <w:b/>
          <w:bCs/>
          <w:sz w:val="32"/>
          <w:szCs w:val="32"/>
          <w:lang w:val="en-US" w:eastAsia="zh-CN"/>
        </w:rPr>
        <w:t>第二部分  部门决算报表</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（详见附表）</w:t>
      </w: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sz w:val="32"/>
          <w:szCs w:val="32"/>
          <w:lang w:eastAsia="zh-CN"/>
        </w:rPr>
      </w:pPr>
    </w:p>
    <w:p>
      <w:pPr>
        <w:ind w:firstLine="645"/>
        <w:rPr>
          <w:rFonts w:hint="eastAsia" w:ascii="仿宋_GB2312" w:eastAsia="仿宋_GB2312"/>
          <w:b/>
          <w:bCs/>
          <w:sz w:val="32"/>
          <w:szCs w:val="32"/>
          <w:lang w:eastAsia="zh-CN"/>
        </w:rPr>
      </w:pPr>
      <w:r>
        <w:rPr>
          <w:rFonts w:hint="eastAsia" w:ascii="仿宋_GB2312" w:eastAsia="仿宋_GB2312"/>
          <w:sz w:val="32"/>
          <w:szCs w:val="32"/>
          <w:lang w:eastAsia="zh-CN"/>
        </w:rPr>
        <w:br w:type="page"/>
      </w:r>
      <w:r>
        <w:rPr>
          <w:rFonts w:hint="eastAsia" w:ascii="仿宋_GB2312" w:eastAsia="仿宋_GB2312"/>
          <w:b/>
          <w:bCs/>
          <w:sz w:val="32"/>
          <w:szCs w:val="32"/>
          <w:lang w:eastAsia="zh-CN"/>
        </w:rPr>
        <w:t> </w:t>
      </w:r>
      <w:bookmarkStart w:id="0" w:name="_GoBack"/>
      <w:bookmarkEnd w:id="0"/>
    </w:p>
    <w:p>
      <w:pPr>
        <w:ind w:firstLine="645"/>
        <w:rPr>
          <w:rFonts w:hint="eastAsia" w:ascii="仿宋_GB2312" w:eastAsia="仿宋_GB2312"/>
          <w:b/>
          <w:bCs/>
          <w:sz w:val="32"/>
          <w:szCs w:val="32"/>
          <w:lang w:eastAsia="zh-CN"/>
        </w:rPr>
      </w:pPr>
      <w:r>
        <w:rPr>
          <w:rFonts w:hint="eastAsia" w:ascii="仿宋_GB2312" w:eastAsia="仿宋_GB2312"/>
          <w:b/>
          <w:bCs/>
          <w:sz w:val="32"/>
          <w:szCs w:val="32"/>
          <w:lang w:val="en-US" w:eastAsia="zh-CN"/>
        </w:rPr>
        <w:t>第三部分：2015年度部门决算情况说明</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一、2015年度收入支出决算总体情况</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（一）收入总计  608.58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1．财政拨款收入  258.18  万元，为鱼峰区本级财政当年拨付的资金。</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2．事业收入    0 万元，为事业单位开展业务活动取得的收入。如：计算机技术中心开展专业活动及辅助活动所取得的收入以及机关服务局后勤服务收入。</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3．经营收入   0  万，为事业单位在业务活动之外开展非独立核算经营活动取得的收入。</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4．其他收入  350.4   万元，为预算单位在“财政拨款收入”、“事业收入”、“经营收入”之外取得的收入。如：</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5．用事业基金弥补收支差额  0   万元，主要是所属事业单位在当年的“财政拨款收入”、“事业收入”、“经营收入”及“其他收入”不能保证其支出的情况下，使用以前年度积累的事业基金（事业单位当年收入和支出相抵后按国家规定提取，用于弥补以后年度收支差额的基金）弥补本年度收支缺口的资金。</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 xml:space="preserve">   （二）支出总计  555.08  万元。包括： </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1．一般公共服务（类） 23.67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2.  教育支出（类）1.14万元；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3．社会保障和就业（类）  508.83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4. 医疗卫生与计划生育支出（类）3.56万元；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5. 商业服务业等支出（类）0.01万元；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6．住房保障支出（类） 2.71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二、2015年度一般公共预算支出决算情况</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一般公共预算支出  246.12   万元，其中：基本支出     68.51万元，项目支出 177.61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 xml:space="preserve">三、2015年度政府性基金支出决算情况 </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政府性基金支出  15.18 万元，其中：基本支出0 万元，项目支出 15.18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四、一般公共预算安排的“三公”经费支出决算情况说明</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（一）因公出国（境）费支出 0 万元。全年使用财政拨款安排因公出国（境）团组共计 0  个，累计 0人次。</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（二）公务用车购置及运行费支出 1.65 万元。其中：</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公务用车购置支出   0 万元。公务用车运行支出1.65    万元。主要用于机要文件交换、市内因公出行以及开展  业务所需车辆燃料费、维修费、过路过桥费、保险费等。公务用车保有量为 1 辆，全年运行费支出1.65 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（三）公务接待费支出 0.18万元。</w:t>
      </w:r>
    </w:p>
    <w:p>
      <w:pPr>
        <w:ind w:firstLine="645"/>
        <w:rPr>
          <w:rFonts w:hint="eastAsia" w:ascii="仿宋_GB2312" w:eastAsia="仿宋_GB2312"/>
          <w:sz w:val="32"/>
          <w:szCs w:val="32"/>
          <w:lang w:eastAsia="zh-CN"/>
        </w:rPr>
      </w:pPr>
      <w:r>
        <w:rPr>
          <w:rFonts w:hint="eastAsia" w:ascii="仿宋_GB2312" w:eastAsia="仿宋_GB2312"/>
          <w:sz w:val="32"/>
          <w:szCs w:val="32"/>
          <w:lang w:val="en-US" w:eastAsia="zh-CN"/>
        </w:rPr>
        <w:t>预算单位</w:t>
      </w:r>
      <w:r>
        <w:rPr>
          <w:rFonts w:hint="default" w:ascii="仿宋_GB2312" w:eastAsia="仿宋_GB2312"/>
          <w:sz w:val="32"/>
          <w:szCs w:val="32"/>
          <w:lang w:val="en-US" w:eastAsia="zh-CN"/>
        </w:rPr>
        <w:t>      </w:t>
      </w:r>
      <w:r>
        <w:rPr>
          <w:rFonts w:hint="eastAsia" w:ascii="仿宋_GB2312" w:eastAsia="仿宋_GB2312"/>
          <w:sz w:val="32"/>
          <w:szCs w:val="32"/>
          <w:lang w:val="en-US" w:eastAsia="zh-CN"/>
        </w:rPr>
        <w:t>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43970"/>
    <w:rsid w:val="2FD97E5A"/>
    <w:rsid w:val="655723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rFonts w:hint="eastAsia" w:ascii="宋体" w:hAnsi="宋体" w:eastAsia="宋体" w:cs="宋体"/>
      <w:color w:val="000000"/>
      <w:sz w:val="18"/>
      <w:szCs w:val="18"/>
      <w:u w:val="none"/>
    </w:rPr>
  </w:style>
  <w:style w:type="character" w:styleId="6">
    <w:name w:val="Hyperlink"/>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2016-12-21T15:26:25Z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