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cs="ArialUnicodeMS"/>
          <w:kern w:val="0"/>
          <w:sz w:val="52"/>
          <w:szCs w:val="52"/>
        </w:rPr>
      </w:pPr>
      <w:r>
        <w:rPr>
          <w:rFonts w:hint="eastAsia" w:ascii="黑体" w:eastAsia="黑体" w:cs="ArialUnicodeMS"/>
          <w:kern w:val="0"/>
          <w:sz w:val="52"/>
          <w:szCs w:val="52"/>
        </w:rPr>
        <w:t>柳州市鱼峰区环境保护局</w:t>
      </w:r>
    </w:p>
    <w:p>
      <w:pPr>
        <w:jc w:val="center"/>
        <w:rPr>
          <w:rFonts w:hint="eastAsia" w:ascii="黑体" w:eastAsia="黑体" w:cs="ArialUnicodeMS"/>
          <w:kern w:val="0"/>
          <w:sz w:val="52"/>
          <w:szCs w:val="52"/>
        </w:rPr>
      </w:pPr>
      <w:r>
        <w:rPr>
          <w:rFonts w:hint="eastAsia" w:ascii="黑体" w:eastAsia="黑体" w:cs="ArialUnicodeMS"/>
          <w:kern w:val="0"/>
          <w:sz w:val="52"/>
          <w:szCs w:val="52"/>
        </w:rPr>
        <w:t>2015年部门决算</w:t>
      </w:r>
    </w:p>
    <w:p>
      <w:pPr>
        <w:ind w:firstLine="645"/>
        <w:jc w:val="center"/>
        <w:rPr>
          <w:rFonts w:hint="eastAsia" w:ascii="方正小标宋简体" w:eastAsia="方正小标宋简体"/>
          <w:b/>
          <w:sz w:val="44"/>
          <w:szCs w:val="44"/>
        </w:rPr>
      </w:pPr>
    </w:p>
    <w:p>
      <w:pPr>
        <w:ind w:firstLine="645"/>
        <w:jc w:val="center"/>
        <w:rPr>
          <w:rFonts w:hint="eastAsia" w:ascii="方正小标宋简体" w:eastAsia="方正小标宋简体"/>
          <w:b/>
          <w:sz w:val="44"/>
          <w:szCs w:val="44"/>
        </w:rPr>
      </w:pPr>
      <w:r>
        <w:rPr>
          <w:rFonts w:hint="eastAsia" w:ascii="方正小标宋简体" w:eastAsia="方正小标宋简体"/>
          <w:b/>
          <w:sz w:val="44"/>
          <w:szCs w:val="44"/>
        </w:rPr>
        <w:t>目 录</w:t>
      </w:r>
    </w:p>
    <w:p>
      <w:pPr>
        <w:ind w:firstLine="645"/>
        <w:rPr>
          <w:rFonts w:hint="eastAsia" w:ascii="仿宋_GB2312" w:eastAsia="仿宋_GB2312"/>
          <w:b/>
          <w:bCs/>
          <w:sz w:val="32"/>
          <w:szCs w:val="32"/>
          <w:lang w:eastAsia="zh-CN"/>
        </w:rPr>
      </w:pPr>
      <w:r>
        <w:rPr>
          <w:rFonts w:hint="eastAsia" w:ascii="仿宋_GB2312" w:eastAsia="仿宋_GB2312"/>
          <w:b/>
          <w:bCs/>
          <w:sz w:val="32"/>
          <w:szCs w:val="32"/>
          <w:lang w:eastAsia="zh-CN"/>
        </w:rPr>
        <w:t>第一部分：概况</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一、部门主要职责</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二、部门构成</w:t>
      </w:r>
    </w:p>
    <w:p>
      <w:pPr>
        <w:ind w:firstLine="645"/>
        <w:rPr>
          <w:rFonts w:hint="eastAsia" w:ascii="仿宋_GB2312" w:eastAsia="仿宋_GB2312"/>
          <w:b/>
          <w:bCs/>
          <w:sz w:val="32"/>
          <w:szCs w:val="32"/>
          <w:lang w:eastAsia="zh-CN"/>
        </w:rPr>
      </w:pPr>
      <w:r>
        <w:rPr>
          <w:rFonts w:hint="eastAsia" w:ascii="仿宋_GB2312" w:eastAsia="仿宋_GB2312"/>
          <w:b/>
          <w:bCs/>
          <w:sz w:val="32"/>
          <w:szCs w:val="32"/>
          <w:lang w:eastAsia="zh-CN"/>
        </w:rPr>
        <w:t>第二部分：部门决算报表</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表一：收入支出决算总表</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表二：财政拨款收入支出决算总表</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表三：收入决算表</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表四：支出决算表</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表五：一般公共预算财政拨款收入支出决算表</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表六：一般公共预算财政拨款支出决算明细表</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表七：政府性基金预算财政拨款收入支出决算表</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表八：部门决算相关信息统计表</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表九：部门基本支出决算明细表</w:t>
      </w:r>
    </w:p>
    <w:p>
      <w:pPr>
        <w:ind w:firstLine="645"/>
        <w:rPr>
          <w:rFonts w:hint="eastAsia" w:ascii="仿宋_GB2312" w:eastAsia="仿宋_GB2312"/>
          <w:b/>
          <w:bCs/>
          <w:sz w:val="32"/>
          <w:szCs w:val="32"/>
          <w:lang w:eastAsia="zh-CN"/>
        </w:rPr>
      </w:pPr>
      <w:r>
        <w:rPr>
          <w:rFonts w:hint="eastAsia" w:ascii="仿宋_GB2312" w:eastAsia="仿宋_GB2312"/>
          <w:b/>
          <w:bCs/>
          <w:sz w:val="32"/>
          <w:szCs w:val="32"/>
          <w:lang w:eastAsia="zh-CN"/>
        </w:rPr>
        <w:t>第三部分：部门决算情况说明</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一、收入支出决算总体情况。</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二、一般公共预算支出决算情况。</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三、政府性基金支出决算情况。</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四、一般公共预算安排的“三公“经费支出决算情况说明。</w:t>
      </w:r>
    </w:p>
    <w:p>
      <w:pPr>
        <w:ind w:firstLine="645"/>
        <w:rPr>
          <w:rFonts w:hint="eastAsia" w:ascii="仿宋_GB2312" w:eastAsia="仿宋_GB2312"/>
          <w:b/>
          <w:bCs/>
          <w:sz w:val="32"/>
          <w:szCs w:val="32"/>
          <w:lang w:eastAsia="zh-CN"/>
        </w:rPr>
      </w:pPr>
      <w:r>
        <w:rPr>
          <w:rFonts w:hint="eastAsia" w:ascii="仿宋_GB2312" w:eastAsia="仿宋_GB2312"/>
          <w:b/>
          <w:bCs/>
          <w:sz w:val="32"/>
          <w:szCs w:val="32"/>
          <w:lang w:eastAsia="zh-CN"/>
        </w:rPr>
        <w:t>第一部分 概况</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一、部门主要职能：</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（一）贯彻执行国家环境保护的方针、政策和法律、法规；负责提出本辖区环境保护和防治污染的有关规定及建议，参与研究城区与环境保护相关的经济、技术、资源配置和产业等方面的决策。</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（二）组织实施大气、水体、土壤、噪声、放射性及电磁辐射、固体废物、有毒化学品以及机动车尾气污染防治工作，按法律、法规和规章负责辖区内生物技术环境安全工作。</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三）负责辖区内自然生态环境保护工作的监督管理；监督辖区内对生态环境有影响的自然资源开发利用活动、重要生态环境建设和生态破坏恢复工作；负责农村生态环境保护；组织、协调和指导辖区内各级示范区及生态农业建设。</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（四）按照管理权限指导和协调解决辖区内的环境问题；依法调查处理辖区内的有关环境问题和环境污染事件及生态破坏事件；调查处理辖区内环境污染纠纷；组织开展辖区内环境保护执法检查活动。</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（五）监督实施环境保护国家标准及环境保护行业标准、环境保护地方标准。</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六）组织实施各项环境保护管理制度；按照管理权限组织实施排污申报登记、排污费征收、排污许可证发放和审核建筑工地午、夜间连续施工证明、污染源限期治理等工作；负责建筑噪声和第三产业排污者的监督管理；开展城区环境综合治理。</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（七）按照管理权限负责环境监测、统计、信息管理工作；负责辖区内污染物总量控制工作及污染源自动监控系统建设与管理。</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（八）组织、指导和协调环境保护宣传教育工作；协同有关部门开展环境教育和社会环境宣传教育工作；推动公众和非政府组织参与环境保护。</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（九）贯彻执行国家有关辐射环境、放射性废物管理的方针、政策、法规和标准，负责辖区核安全设施的监督检查。</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十）负责辖区内环境热线投诉的受理和环境信访、公众举报的接待和调查处理；负责管理权限内环境违法行为的调查取证、立案、处罚，属重大行政处罚的按规定及时上报上级相关部门备案；负责管理权限内污染防治设施运行情况检查及对拆除、闲置污染防治设施项目审批的核查和管理；负责辖区中考、高考期间噪声监督管理工作。</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十一）负责管理权限内建设项目的审批；负责对所审批的建设项目环境保护“三同时”检查及验收工作；参与辖区单位环境保护补助资金审核管理；负责辖区内各种环境监察报表编报、环境检查档案的收集、整理、归档和管理。</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（十二）承办城区人民政府和市环境保护局交办的其他事项。</w:t>
      </w:r>
    </w:p>
    <w:p>
      <w:pPr>
        <w:ind w:firstLine="645"/>
        <w:rPr>
          <w:rFonts w:hint="eastAsia" w:ascii="仿宋_GB2312" w:eastAsia="仿宋_GB2312"/>
          <w:sz w:val="32"/>
          <w:szCs w:val="32"/>
          <w:lang w:eastAsia="zh-CN"/>
        </w:rPr>
      </w:pP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二、部门构成</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决算单位构成：</w:t>
      </w:r>
      <w:bookmarkStart w:id="3" w:name="_GoBack"/>
      <w:r>
        <w:rPr>
          <w:rFonts w:hint="eastAsia" w:ascii="仿宋_GB2312" w:eastAsia="仿宋_GB2312"/>
          <w:sz w:val="32"/>
          <w:szCs w:val="32"/>
          <w:lang w:eastAsia="zh-CN"/>
        </w:rPr>
        <w:t>鱼峰区环境保护局</w:t>
      </w:r>
      <w:bookmarkEnd w:id="3"/>
    </w:p>
    <w:p>
      <w:pPr>
        <w:ind w:firstLine="645"/>
        <w:rPr>
          <w:rFonts w:hint="eastAsia" w:ascii="仿宋_GB2312" w:eastAsia="仿宋_GB2312"/>
          <w:sz w:val="32"/>
          <w:szCs w:val="32"/>
          <w:lang w:eastAsia="zh-CN"/>
        </w:rPr>
      </w:pPr>
    </w:p>
    <w:p>
      <w:pPr>
        <w:ind w:firstLine="645"/>
        <w:rPr>
          <w:rFonts w:hint="eastAsia" w:ascii="仿宋_GB2312" w:eastAsia="仿宋_GB2312"/>
          <w:sz w:val="32"/>
          <w:szCs w:val="32"/>
          <w:lang w:eastAsia="zh-CN"/>
        </w:rPr>
      </w:pPr>
    </w:p>
    <w:p>
      <w:pPr>
        <w:ind w:firstLine="645"/>
        <w:rPr>
          <w:rFonts w:hint="eastAsia" w:ascii="仿宋_GB2312" w:eastAsia="仿宋_GB2312"/>
          <w:b/>
          <w:bCs/>
          <w:sz w:val="32"/>
          <w:szCs w:val="32"/>
          <w:lang w:eastAsia="zh-CN"/>
        </w:rPr>
      </w:pPr>
      <w:r>
        <w:rPr>
          <w:rFonts w:hint="eastAsia" w:ascii="仿宋_GB2312" w:eastAsia="仿宋_GB2312"/>
          <w:b/>
          <w:bCs/>
          <w:sz w:val="32"/>
          <w:szCs w:val="32"/>
          <w:lang w:eastAsia="zh-CN"/>
        </w:rPr>
        <w:t>第二部分 部门决算报表</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（详见附表）</w:t>
      </w:r>
    </w:p>
    <w:p>
      <w:pPr>
        <w:ind w:firstLine="645"/>
        <w:rPr>
          <w:rFonts w:hint="eastAsia" w:ascii="仿宋_GB2312" w:eastAsia="仿宋_GB2312"/>
          <w:sz w:val="32"/>
          <w:szCs w:val="32"/>
          <w:lang w:eastAsia="zh-CN"/>
        </w:rPr>
      </w:pPr>
      <w:r>
        <w:rPr>
          <w:rFonts w:hint="eastAsia" w:ascii="仿宋" w:hAnsi="仿宋" w:eastAsia="仿宋" w:cs="仿宋"/>
          <w:color w:val="000000"/>
          <w:sz w:val="24"/>
          <w:shd w:val="clear" w:color="auto" w:fill="FFFFFF"/>
        </w:rPr>
        <w:br w:type="page"/>
      </w:r>
      <w:r>
        <w:rPr>
          <w:rFonts w:hint="eastAsia" w:ascii="仿宋_GB2312" w:eastAsia="仿宋_GB2312"/>
          <w:b/>
          <w:bCs/>
          <w:sz w:val="32"/>
          <w:szCs w:val="32"/>
          <w:lang w:eastAsia="zh-CN"/>
        </w:rPr>
        <w:t>第三部分：2015年度部门决算情况说明</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一、2015年度收入支出决算总体情况</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（一）收入总计 104.77 万元。</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1．财政拨款收入 102.64 万元，为鱼峰区本级财政当年拨付的资金。</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2．事业收入 0 万元，为事业单位开展业务活动取得的收入。如：计算机技术中心开展专业活动及辅助活动所取得的收入以及机关服务局后勤服务收入。</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3．经营收入 0 万，为事业单位在业务活动之外开展非独立核算经营活动取得的收入。</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4．其他收入 2.14 万元，为预算单位在“财政拨款收入”、“事业收入”、“经营收入”之外取得的收入。如：</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5．用事业基金弥补收支差额 0 万元，主要是所属事业单位在当年的“财政拨款收入”、“事业收入”、“经营收入”及“其他收入”不能保证其支出的情况下，使用以前年度积累的事业基金（事业单位当年收入和支出相抵后按国家规定提取，用于弥补以后年度收支差额的基金）弥补本年度收支缺口的资金。</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（二）支出总计 119.23 万元。包括：</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1．一般公共服务（类） 17.89 万元；</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2. 教育支出（类） 1.9 万元；</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3．社会保障和就业支出（类） 5.19 万元；</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4. 医疗卫生与计划生育支出（类） 5.93 万元；</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5. 节能环保支出</w:t>
      </w:r>
      <w:bookmarkStart w:id="0" w:name="OLE_LINK1"/>
      <w:r>
        <w:rPr>
          <w:rFonts w:hint="eastAsia" w:ascii="仿宋_GB2312" w:eastAsia="仿宋_GB2312"/>
          <w:sz w:val="32"/>
          <w:szCs w:val="32"/>
          <w:lang w:eastAsia="zh-CN"/>
        </w:rPr>
        <w:t>（类）</w:t>
      </w:r>
      <w:bookmarkEnd w:id="0"/>
      <w:r>
        <w:rPr>
          <w:rFonts w:hint="eastAsia" w:ascii="仿宋_GB2312" w:eastAsia="仿宋_GB2312"/>
          <w:sz w:val="32"/>
          <w:szCs w:val="32"/>
          <w:lang w:eastAsia="zh-CN"/>
        </w:rPr>
        <w:t xml:space="preserve"> 83.8 </w:t>
      </w:r>
      <w:bookmarkStart w:id="1" w:name="OLE_LINK2"/>
      <w:r>
        <w:rPr>
          <w:rFonts w:hint="eastAsia" w:ascii="仿宋_GB2312" w:eastAsia="仿宋_GB2312"/>
          <w:sz w:val="32"/>
          <w:szCs w:val="32"/>
          <w:lang w:eastAsia="zh-CN"/>
        </w:rPr>
        <w:t>万元</w:t>
      </w:r>
      <w:bookmarkEnd w:id="1"/>
      <w:r>
        <w:rPr>
          <w:rFonts w:hint="eastAsia" w:ascii="仿宋_GB2312" w:eastAsia="仿宋_GB2312"/>
          <w:sz w:val="32"/>
          <w:szCs w:val="32"/>
          <w:lang w:eastAsia="zh-CN"/>
        </w:rPr>
        <w:t>；</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6. 商业服务业等支出</w:t>
      </w:r>
      <w:bookmarkStart w:id="2" w:name="OLE_LINK3"/>
      <w:r>
        <w:rPr>
          <w:rFonts w:hint="eastAsia" w:ascii="仿宋_GB2312" w:eastAsia="仿宋_GB2312"/>
          <w:sz w:val="32"/>
          <w:szCs w:val="32"/>
          <w:lang w:eastAsia="zh-CN"/>
        </w:rPr>
        <w:t xml:space="preserve">（类） </w:t>
      </w:r>
      <w:bookmarkEnd w:id="2"/>
      <w:r>
        <w:rPr>
          <w:rFonts w:hint="eastAsia" w:ascii="仿宋_GB2312" w:eastAsia="仿宋_GB2312"/>
          <w:sz w:val="32"/>
          <w:szCs w:val="32"/>
          <w:lang w:eastAsia="zh-CN"/>
        </w:rPr>
        <w:t>0.01 万元；</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7. 住房保障支出（类） 4.52 万元。</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二、2015年度一般公共预算支出决算情况</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一般公共预算支出 103.51 万元，其中：基本支出 73.31万元，项目支出 30.2 万元。</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三、2015年度政府性基金支出决算情况</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政府性基金支出 0 万元，其中：基本支出0 万元，项目支出 0 万元。</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四、一般公共预算安排的“三公”经费支出决算情况说明</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（一）因公出国（境）费支出 0 万元。全年使用财政拨款安排因公出国（境）团组共计 0 个，累计 0人次。</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（二）公务用车购置及运行费支出 2.75 万元。其中：</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公务用车购置支出 0 万元。公务用车运行支出2.75 万元。主要用于机要文件交换、市内因公出行以及开展 业务所需车辆燃料费、维修费、过路过桥费、保险费等。公务用车保有量为 4 辆，全年运行费支出 2.75 万元.</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（三）公务接待费支出 0.46 万元。</w:t>
      </w:r>
    </w:p>
    <w:p>
      <w:pPr>
        <w:ind w:firstLine="645"/>
        <w:rPr>
          <w:rFonts w:hint="eastAsia" w:ascii="仿宋_GB2312" w:eastAsia="仿宋_GB2312"/>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Calibri Light">
    <w:altName w:val="Times New Roman"/>
    <w:panose1 w:val="00000000000000000000"/>
    <w:charset w:val="00"/>
    <w:family w:val="roman"/>
    <w:pitch w:val="default"/>
    <w:sig w:usb0="00000000" w:usb1="00000000" w:usb2="00000000" w:usb3="00000000" w:csb0="0000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646CC"/>
    <w:rsid w:val="004646CC"/>
    <w:rsid w:val="007701D1"/>
    <w:rsid w:val="00DA34D7"/>
    <w:rsid w:val="10DC1A2A"/>
    <w:rsid w:val="5AAE6AA3"/>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6">
    <w:name w:val="FollowedHyperlink"/>
    <w:basedOn w:val="5"/>
    <w:uiPriority w:val="0"/>
    <w:rPr>
      <w:rFonts w:hint="eastAsia" w:ascii="宋体" w:hAnsi="宋体" w:eastAsia="宋体" w:cs="宋体"/>
      <w:color w:val="000000"/>
      <w:sz w:val="18"/>
      <w:szCs w:val="18"/>
      <w:u w:val="none"/>
    </w:rPr>
  </w:style>
  <w:style w:type="character" w:styleId="7">
    <w:name w:val="Hyperlink"/>
    <w:basedOn w:val="5"/>
    <w:uiPriority w:val="0"/>
    <w:rPr>
      <w:rFonts w:hint="eastAsia" w:ascii="宋体" w:hAnsi="宋体" w:eastAsia="宋体" w:cs="宋体"/>
      <w:color w:val="000000"/>
      <w:sz w:val="18"/>
      <w:szCs w:val="18"/>
      <w:u w:val="none"/>
    </w:rPr>
  </w:style>
  <w:style w:type="character" w:customStyle="1" w:styleId="9">
    <w:name w:val="页眉 Char"/>
    <w:basedOn w:val="5"/>
    <w:link w:val="3"/>
    <w:uiPriority w:val="0"/>
    <w:rPr>
      <w:rFonts w:asciiTheme="minorHAnsi" w:hAnsiTheme="minorHAnsi" w:eastAsiaTheme="minorEastAsia" w:cstheme="minorBidi"/>
      <w:kern w:val="2"/>
      <w:sz w:val="18"/>
      <w:szCs w:val="18"/>
    </w:rPr>
  </w:style>
  <w:style w:type="character" w:customStyle="1" w:styleId="10">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333</Words>
  <Characters>1904</Characters>
  <Lines>15</Lines>
  <Paragraphs>4</Paragraphs>
  <ScaleCrop>false</ScaleCrop>
  <LinksUpToDate>false</LinksUpToDate>
  <CharactersWithSpaces>2233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2016-12-21T14:46:16Z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