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BCE2B">
      <w:pPr>
        <w:widowControl/>
        <w:jc w:val="center"/>
        <w:rPr>
          <w:rFonts w:ascii="方正小标宋简体" w:hAnsi="方正小标宋简体" w:eastAsia="方正小标宋简体" w:cs="方正小标宋简体"/>
          <w:bCs/>
          <w:color w:val="0000FF"/>
          <w:sz w:val="32"/>
          <w:szCs w:val="32"/>
        </w:rPr>
      </w:pPr>
      <w:r>
        <w:rPr>
          <w:rFonts w:hint="eastAsia" w:ascii="方正小标宋简体" w:hAnsi="方正小标宋简体" w:eastAsia="方正小标宋简体" w:cs="方正小标宋简体"/>
          <w:bCs/>
          <w:sz w:val="32"/>
          <w:szCs w:val="32"/>
        </w:rPr>
        <w:t>柳州市鱼峰区综合行政执法局</w:t>
      </w:r>
    </w:p>
    <w:p w14:paraId="5D0E2052">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636F4F45">
      <w:pPr>
        <w:keepNext w:val="0"/>
        <w:keepLines w:val="0"/>
        <w:pageBreakBefore w:val="0"/>
        <w:widowControl w:val="0"/>
        <w:kinsoku/>
        <w:wordWrap/>
        <w:topLinePunct w:val="0"/>
        <w:autoSpaceDE/>
        <w:autoSpaceDN/>
        <w:bidi w:val="0"/>
        <w:spacing w:line="440" w:lineRule="exact"/>
        <w:jc w:val="center"/>
        <w:textAlignment w:val="auto"/>
        <w:rPr>
          <w:rFonts w:eastAsia="仿宋_GB2312"/>
          <w:sz w:val="28"/>
          <w:u w:val="single"/>
        </w:rPr>
      </w:pPr>
      <w:r>
        <w:rPr>
          <w:rFonts w:hint="eastAsia" w:ascii="仿宋_GB2312" w:eastAsia="仿宋_GB2312"/>
          <w:sz w:val="28"/>
        </w:rPr>
        <w:t xml:space="preserve">                               柳鱼峰</w:t>
      </w:r>
      <w:r>
        <w:rPr>
          <w:rFonts w:hint="eastAsia" w:ascii="仿宋_GB2312" w:hAnsi="仿宋_GB2312" w:eastAsia="仿宋_GB2312" w:cs="仿宋_GB2312"/>
          <w:bCs/>
          <w:sz w:val="28"/>
          <w:szCs w:val="28"/>
        </w:rPr>
        <w:t>城管</w:t>
      </w:r>
      <w:r>
        <w:rPr>
          <w:rFonts w:hint="eastAsia" w:ascii="仿宋_GB2312" w:eastAsia="仿宋_GB2312"/>
          <w:sz w:val="28"/>
        </w:rPr>
        <w:t>责拆告字〔</w:t>
      </w:r>
      <w:r>
        <w:rPr>
          <w:rFonts w:eastAsia="仿宋_GB2312"/>
          <w:sz w:val="28"/>
        </w:rPr>
        <w:t>2024〕第8</w:t>
      </w:r>
      <w:r>
        <w:rPr>
          <w:rFonts w:hint="eastAsia" w:eastAsia="仿宋_GB2312"/>
          <w:sz w:val="28"/>
          <w:lang w:val="en-US" w:eastAsia="zh-CN"/>
        </w:rPr>
        <w:t>6086</w:t>
      </w:r>
      <w:r>
        <w:rPr>
          <w:rFonts w:eastAsia="仿宋_GB2312"/>
          <w:sz w:val="28"/>
        </w:rPr>
        <w:t>号</w:t>
      </w:r>
    </w:p>
    <w:p w14:paraId="097BF6DA">
      <w:pPr>
        <w:keepNext w:val="0"/>
        <w:keepLines w:val="0"/>
        <w:pageBreakBefore w:val="0"/>
        <w:widowControl w:val="0"/>
        <w:kinsoku/>
        <w:wordWrap/>
        <w:topLinePunct w:val="0"/>
        <w:autoSpaceDE/>
        <w:autoSpaceDN/>
        <w:bidi w:val="0"/>
        <w:spacing w:line="440" w:lineRule="exact"/>
        <w:textAlignment w:val="auto"/>
        <w:rPr>
          <w:rFonts w:eastAsia="仿宋_GB2312"/>
          <w:sz w:val="28"/>
          <w:szCs w:val="28"/>
        </w:rPr>
      </w:pPr>
      <w:r>
        <w:rPr>
          <w:rFonts w:hint="eastAsia" w:eastAsia="仿宋_GB2312"/>
          <w:sz w:val="28"/>
          <w:szCs w:val="28"/>
          <w:u w:val="single"/>
          <w:lang w:eastAsia="zh-CN"/>
        </w:rPr>
        <w:t>阮志清</w:t>
      </w:r>
      <w:r>
        <w:rPr>
          <w:rFonts w:eastAsia="仿宋_GB2312"/>
          <w:sz w:val="28"/>
          <w:szCs w:val="28"/>
        </w:rPr>
        <w:t>：</w:t>
      </w:r>
    </w:p>
    <w:p w14:paraId="6120C3B7">
      <w:pPr>
        <w:keepNext w:val="0"/>
        <w:keepLines w:val="0"/>
        <w:pageBreakBefore w:val="0"/>
        <w:widowControl w:val="0"/>
        <w:kinsoku/>
        <w:wordWrap/>
        <w:topLinePunct w:val="0"/>
        <w:autoSpaceDE/>
        <w:autoSpaceDN/>
        <w:bidi w:val="0"/>
        <w:spacing w:line="440" w:lineRule="exact"/>
        <w:ind w:firstLine="548" w:firstLineChars="196"/>
        <w:jc w:val="left"/>
        <w:textAlignment w:val="auto"/>
        <w:rPr>
          <w:rFonts w:eastAsia="仿宋_GB2312"/>
          <w:sz w:val="28"/>
          <w:szCs w:val="28"/>
        </w:rPr>
      </w:pPr>
      <w:r>
        <w:rPr>
          <w:rFonts w:eastAsia="仿宋_GB2312"/>
          <w:sz w:val="28"/>
          <w:szCs w:val="28"/>
        </w:rPr>
        <w:t>根据</w:t>
      </w:r>
      <w:r>
        <w:rPr>
          <w:rFonts w:eastAsia="仿宋_GB2312"/>
          <w:sz w:val="28"/>
          <w:szCs w:val="28"/>
          <w:u w:val="single"/>
        </w:rPr>
        <w:t xml:space="preserve">《中华人民共和国行政处罚法》第五十四条 </w:t>
      </w:r>
      <w:r>
        <w:rPr>
          <w:rFonts w:eastAsia="仿宋_GB2312"/>
          <w:sz w:val="28"/>
          <w:szCs w:val="28"/>
        </w:rPr>
        <w:t>的规定，本机关于</w:t>
      </w:r>
      <w:r>
        <w:rPr>
          <w:rFonts w:eastAsia="仿宋_GB2312"/>
          <w:sz w:val="28"/>
          <w:szCs w:val="28"/>
          <w:u w:val="single"/>
        </w:rPr>
        <w:t>2024年</w:t>
      </w:r>
      <w:r>
        <w:rPr>
          <w:rFonts w:hint="eastAsia" w:eastAsia="仿宋_GB2312"/>
          <w:sz w:val="28"/>
          <w:szCs w:val="28"/>
          <w:u w:val="single"/>
        </w:rPr>
        <w:t>10</w:t>
      </w:r>
      <w:r>
        <w:rPr>
          <w:rFonts w:eastAsia="仿宋_GB2312"/>
          <w:sz w:val="28"/>
          <w:szCs w:val="28"/>
          <w:u w:val="single"/>
        </w:rPr>
        <w:t>月</w:t>
      </w:r>
      <w:r>
        <w:rPr>
          <w:rFonts w:hint="eastAsia" w:eastAsia="仿宋_GB2312"/>
          <w:sz w:val="28"/>
          <w:szCs w:val="28"/>
          <w:u w:val="single"/>
          <w:lang w:val="en-US" w:eastAsia="zh-CN"/>
        </w:rPr>
        <w:t>9</w:t>
      </w:r>
      <w:r>
        <w:rPr>
          <w:rFonts w:eastAsia="仿宋_GB2312"/>
          <w:sz w:val="28"/>
          <w:szCs w:val="28"/>
          <w:u w:val="single"/>
        </w:rPr>
        <w:t>日</w:t>
      </w:r>
      <w:r>
        <w:rPr>
          <w:rFonts w:eastAsia="仿宋_GB2312"/>
          <w:sz w:val="28"/>
          <w:szCs w:val="28"/>
        </w:rPr>
        <w:t>对你（单位）涉嫌</w:t>
      </w:r>
      <w:r>
        <w:rPr>
          <w:rFonts w:eastAsia="仿宋_GB2312"/>
          <w:sz w:val="28"/>
          <w:szCs w:val="28"/>
          <w:u w:val="single"/>
        </w:rPr>
        <w:t>未经许可擅自建设</w:t>
      </w:r>
      <w:r>
        <w:rPr>
          <w:rFonts w:hint="eastAsia" w:ascii="仿宋_GB2312" w:hAnsi="仿宋_GB2312" w:eastAsia="仿宋_GB2312" w:cs="仿宋_GB2312"/>
          <w:bCs/>
          <w:sz w:val="28"/>
          <w:szCs w:val="28"/>
          <w:u w:val="single"/>
          <w:lang w:eastAsia="zh-CN"/>
        </w:rPr>
        <w:t>房屋</w:t>
      </w:r>
      <w:r>
        <w:rPr>
          <w:rFonts w:eastAsia="仿宋_GB2312"/>
          <w:sz w:val="28"/>
          <w:szCs w:val="28"/>
        </w:rPr>
        <w:t>的行为予以立案调查。</w:t>
      </w:r>
    </w:p>
    <w:p w14:paraId="4098CEFC">
      <w:pPr>
        <w:keepNext w:val="0"/>
        <w:keepLines w:val="0"/>
        <w:pageBreakBefore w:val="0"/>
        <w:widowControl w:val="0"/>
        <w:kinsoku/>
        <w:wordWrap/>
        <w:topLinePunct w:val="0"/>
        <w:autoSpaceDE/>
        <w:autoSpaceDN/>
        <w:bidi w:val="0"/>
        <w:spacing w:line="440" w:lineRule="exact"/>
        <w:ind w:firstLine="548" w:firstLineChars="196"/>
        <w:jc w:val="left"/>
        <w:textAlignment w:val="auto"/>
        <w:rPr>
          <w:rFonts w:eastAsia="仿宋_GB2312"/>
          <w:sz w:val="28"/>
          <w:szCs w:val="28"/>
        </w:rPr>
      </w:pPr>
      <w:r>
        <w:rPr>
          <w:rFonts w:eastAsia="仿宋_GB2312"/>
          <w:sz w:val="28"/>
          <w:szCs w:val="28"/>
        </w:rPr>
        <w:t>现查明，你（单位）</w:t>
      </w:r>
      <w:r>
        <w:rPr>
          <w:rFonts w:eastAsia="仿宋_GB2312"/>
          <w:sz w:val="28"/>
          <w:u w:val="single"/>
        </w:rPr>
        <w:t>未取得建设工程规划许可证</w:t>
      </w:r>
      <w:r>
        <w:rPr>
          <w:rFonts w:hint="eastAsia" w:eastAsia="仿宋_GB2312"/>
          <w:sz w:val="28"/>
          <w:u w:val="single"/>
        </w:rPr>
        <w:t>在荣军路一区22号原房屋的基础上建设第四层砖瓦结构房屋一处，并在原房屋北面建设三层砖混及第四层砖瓦结构房屋一处</w:t>
      </w:r>
      <w:r>
        <w:rPr>
          <w:rFonts w:hint="default" w:ascii="Times New Roman" w:hAnsi="Times New Roman" w:eastAsia="仿宋_GB2312" w:cs="Times New Roman"/>
          <w:sz w:val="28"/>
          <w:u w:val="single"/>
        </w:rPr>
        <w:t>（建设面积为</w:t>
      </w:r>
      <w:r>
        <w:rPr>
          <w:rFonts w:hint="eastAsia" w:eastAsia="仿宋_GB2312" w:cs="Times New Roman"/>
          <w:sz w:val="28"/>
          <w:u w:val="single"/>
          <w:lang w:val="en-US" w:eastAsia="zh-CN"/>
        </w:rPr>
        <w:t>364.8</w:t>
      </w:r>
      <w:r>
        <w:rPr>
          <w:rFonts w:hint="default" w:ascii="Times New Roman" w:hAnsi="Times New Roman" w:eastAsia="仿宋_GB2312" w:cs="Times New Roman"/>
          <w:sz w:val="28"/>
          <w:u w:val="single"/>
        </w:rPr>
        <w:t>平方米</w:t>
      </w:r>
      <w:r>
        <w:rPr>
          <w:rFonts w:eastAsia="仿宋_GB2312"/>
          <w:sz w:val="28"/>
          <w:u w:val="single"/>
        </w:rPr>
        <w:t>）。</w:t>
      </w:r>
      <w:r>
        <w:rPr>
          <w:rFonts w:eastAsia="仿宋_GB2312"/>
          <w:sz w:val="28"/>
          <w:szCs w:val="28"/>
        </w:rPr>
        <w:t>本机关认为，你（单位）的上述行为违反了</w:t>
      </w:r>
      <w:r>
        <w:rPr>
          <w:rFonts w:eastAsia="仿宋_GB2312"/>
          <w:sz w:val="28"/>
          <w:szCs w:val="28"/>
          <w:u w:val="single"/>
        </w:rPr>
        <w:t>《中华人民共和国城乡规划法》第四十条第一款</w:t>
      </w:r>
      <w:r>
        <w:rPr>
          <w:rFonts w:eastAsia="仿宋_GB2312"/>
          <w:sz w:val="28"/>
          <w:szCs w:val="28"/>
        </w:rPr>
        <w:t>的规定，</w:t>
      </w:r>
      <w:r>
        <w:rPr>
          <w:rFonts w:eastAsia="仿宋_GB2312"/>
          <w:sz w:val="28"/>
        </w:rPr>
        <w:t>依据</w:t>
      </w:r>
      <w:r>
        <w:rPr>
          <w:rFonts w:eastAsia="仿宋_GB2312"/>
          <w:sz w:val="28"/>
          <w:u w:val="single"/>
        </w:rPr>
        <w:t>《中华人民共和国城乡规划法》第六十四条</w:t>
      </w:r>
      <w:r>
        <w:rPr>
          <w:rFonts w:eastAsia="仿宋_GB2312"/>
          <w:sz w:val="28"/>
        </w:rPr>
        <w:t>的规定，</w:t>
      </w:r>
      <w:r>
        <w:rPr>
          <w:rFonts w:eastAsia="仿宋_GB2312"/>
          <w:sz w:val="28"/>
          <w:szCs w:val="28"/>
        </w:rPr>
        <w:t>拟对你（单位）作出如下决定：</w:t>
      </w:r>
      <w:r>
        <w:rPr>
          <w:rFonts w:eastAsia="仿宋_GB2312"/>
          <w:sz w:val="28"/>
          <w:szCs w:val="28"/>
          <w:u w:val="single"/>
        </w:rPr>
        <w:t>责令限期自行拆除上述违法建筑。</w:t>
      </w:r>
    </w:p>
    <w:p w14:paraId="23788CBF">
      <w:pPr>
        <w:keepNext w:val="0"/>
        <w:keepLines w:val="0"/>
        <w:pageBreakBefore w:val="0"/>
        <w:widowControl w:val="0"/>
        <w:kinsoku/>
        <w:wordWrap/>
        <w:topLinePunct w:val="0"/>
        <w:autoSpaceDE/>
        <w:autoSpaceDN/>
        <w:bidi w:val="0"/>
        <w:spacing w:line="440" w:lineRule="exact"/>
        <w:textAlignment w:val="auto"/>
        <w:rPr>
          <w:rFonts w:ascii="仿宋_GB2312" w:hAnsi="仿宋" w:eastAsia="仿宋_GB2312" w:cs="仿宋"/>
          <w:sz w:val="28"/>
          <w:szCs w:val="28"/>
        </w:rPr>
      </w:pPr>
      <w:r>
        <w:rPr>
          <w:rFonts w:hint="eastAsia" w:eastAsia="仿宋_GB2312"/>
          <w:sz w:val="28"/>
          <w:szCs w:val="28"/>
        </w:rPr>
        <w:t xml:space="preserve">    </w:t>
      </w:r>
      <w:r>
        <w:rPr>
          <w:rFonts w:eastAsia="仿宋_GB2312"/>
          <w:sz w:val="28"/>
          <w:szCs w:val="28"/>
        </w:rPr>
        <w:t>根据《中华人民共和国行政处罚法》第四十四条、四十五条的规定，你（单位）对本机关上述认定的违法事实、处罚依据及处罚内容等有异议的，可在收到本告知书之日起5个</w:t>
      </w:r>
      <w:r>
        <w:rPr>
          <w:rFonts w:hint="eastAsia" w:ascii="仿宋_GB2312" w:hAnsi="仿宋" w:eastAsia="仿宋_GB2312" w:cs="仿宋"/>
          <w:sz w:val="28"/>
          <w:szCs w:val="28"/>
        </w:rPr>
        <w:t>工作日内向本机关提出书面陈述、申辩意见，或到本机关进行口头陈述、申辩。</w:t>
      </w:r>
    </w:p>
    <w:p w14:paraId="474191EC">
      <w:pPr>
        <w:keepNext w:val="0"/>
        <w:keepLines w:val="0"/>
        <w:pageBreakBefore w:val="0"/>
        <w:widowControl w:val="0"/>
        <w:kinsoku/>
        <w:wordWrap/>
        <w:topLinePunct w:val="0"/>
        <w:autoSpaceDE/>
        <w:autoSpaceDN/>
        <w:bidi w:val="0"/>
        <w:spacing w:line="440" w:lineRule="exact"/>
        <w:ind w:firstLine="548" w:firstLineChars="196"/>
        <w:jc w:val="left"/>
        <w:textAlignment w:val="auto"/>
        <w:rPr>
          <w:rFonts w:eastAsia="仿宋_GB2312"/>
          <w:sz w:val="28"/>
          <w:szCs w:val="28"/>
          <w:u w:val="single"/>
        </w:rPr>
      </w:pPr>
      <w:r>
        <w:rPr>
          <w:rFonts w:hint="eastAsia" w:ascii="仿宋_GB2312" w:hAnsi="仿宋" w:eastAsia="仿宋_GB2312" w:cs="仿宋"/>
          <w:sz w:val="28"/>
          <w:szCs w:val="28"/>
        </w:rPr>
        <w:t>逾期不提供书面陈述、申辩意见，本机关将依法作出</w:t>
      </w:r>
      <w:r>
        <w:rPr>
          <w:rFonts w:eastAsia="仿宋_GB2312"/>
          <w:sz w:val="28"/>
          <w:szCs w:val="28"/>
        </w:rPr>
        <w:t>处理决定。</w:t>
      </w:r>
    </w:p>
    <w:p w14:paraId="3407D5B7">
      <w:pPr>
        <w:keepNext w:val="0"/>
        <w:keepLines w:val="0"/>
        <w:pageBreakBefore w:val="0"/>
        <w:widowControl w:val="0"/>
        <w:kinsoku/>
        <w:wordWrap/>
        <w:overflowPunct w:val="0"/>
        <w:topLinePunct w:val="0"/>
        <w:autoSpaceDE/>
        <w:autoSpaceDN/>
        <w:bidi w:val="0"/>
        <w:adjustRightInd w:val="0"/>
        <w:snapToGrid w:val="0"/>
        <w:spacing w:line="440" w:lineRule="exact"/>
        <w:ind w:firstLine="534" w:firstLineChars="191"/>
        <w:jc w:val="left"/>
        <w:textAlignment w:val="auto"/>
        <w:rPr>
          <w:rFonts w:eastAsia="仿宋_GB2312"/>
          <w:sz w:val="28"/>
          <w:szCs w:val="28"/>
        </w:rPr>
      </w:pPr>
    </w:p>
    <w:p w14:paraId="50F96A56">
      <w:pPr>
        <w:keepNext w:val="0"/>
        <w:keepLines w:val="0"/>
        <w:pageBreakBefore w:val="0"/>
        <w:widowControl w:val="0"/>
        <w:kinsoku/>
        <w:wordWrap/>
        <w:overflowPunct w:val="0"/>
        <w:topLinePunct w:val="0"/>
        <w:autoSpaceDE/>
        <w:autoSpaceDN/>
        <w:bidi w:val="0"/>
        <w:adjustRightInd w:val="0"/>
        <w:snapToGrid w:val="0"/>
        <w:spacing w:line="440" w:lineRule="exact"/>
        <w:ind w:firstLine="534" w:firstLineChars="191"/>
        <w:jc w:val="left"/>
        <w:textAlignment w:val="auto"/>
        <w:rPr>
          <w:rFonts w:eastAsia="仿宋_GB2312"/>
          <w:sz w:val="28"/>
          <w:szCs w:val="28"/>
        </w:rPr>
      </w:pPr>
      <w:r>
        <w:rPr>
          <w:rFonts w:eastAsia="仿宋_GB2312"/>
          <w:sz w:val="28"/>
          <w:szCs w:val="28"/>
        </w:rPr>
        <w:t>联 系 人：</w:t>
      </w:r>
      <w:r>
        <w:rPr>
          <w:rFonts w:eastAsia="仿宋_GB2312"/>
          <w:color w:val="060606"/>
          <w:sz w:val="28"/>
          <w:szCs w:val="28"/>
          <w:u w:val="single"/>
        </w:rPr>
        <w:t>综合科</w:t>
      </w:r>
      <w:r>
        <w:rPr>
          <w:rFonts w:hint="eastAsia" w:eastAsia="仿宋_GB2312"/>
          <w:color w:val="060606"/>
          <w:sz w:val="28"/>
          <w:szCs w:val="28"/>
          <w:u w:val="single"/>
        </w:rPr>
        <w:t>（张成余、苏复远）</w:t>
      </w:r>
      <w:r>
        <w:rPr>
          <w:rFonts w:hint="eastAsia" w:eastAsia="仿宋_GB2312"/>
          <w:color w:val="060606"/>
          <w:sz w:val="28"/>
          <w:szCs w:val="28"/>
        </w:rPr>
        <w:t xml:space="preserve">    </w:t>
      </w:r>
      <w:r>
        <w:rPr>
          <w:rFonts w:eastAsia="仿宋_GB2312"/>
          <w:sz w:val="28"/>
          <w:szCs w:val="28"/>
        </w:rPr>
        <w:t>联系电话：</w:t>
      </w:r>
      <w:r>
        <w:rPr>
          <w:rFonts w:eastAsia="仿宋_GB2312"/>
          <w:color w:val="060606"/>
          <w:sz w:val="28"/>
          <w:szCs w:val="28"/>
          <w:u w:val="single"/>
        </w:rPr>
        <w:t>0772-2021761</w:t>
      </w:r>
    </w:p>
    <w:p w14:paraId="65A8D0FF">
      <w:pPr>
        <w:keepNext w:val="0"/>
        <w:keepLines w:val="0"/>
        <w:pageBreakBefore w:val="0"/>
        <w:widowControl w:val="0"/>
        <w:kinsoku/>
        <w:wordWrap/>
        <w:overflowPunct w:val="0"/>
        <w:topLinePunct w:val="0"/>
        <w:autoSpaceDE/>
        <w:autoSpaceDN/>
        <w:bidi w:val="0"/>
        <w:adjustRightInd w:val="0"/>
        <w:snapToGrid w:val="0"/>
        <w:spacing w:line="440" w:lineRule="exact"/>
        <w:ind w:firstLine="534" w:firstLineChars="191"/>
        <w:jc w:val="left"/>
        <w:textAlignment w:val="auto"/>
        <w:rPr>
          <w:rFonts w:eastAsia="仿宋_GB2312"/>
        </w:rPr>
      </w:pPr>
      <w:r>
        <w:rPr>
          <w:rFonts w:eastAsia="仿宋_GB2312"/>
          <w:sz w:val="28"/>
          <w:szCs w:val="28"/>
        </w:rPr>
        <w:t>联系地址：</w:t>
      </w:r>
      <w:r>
        <w:rPr>
          <w:rFonts w:eastAsia="仿宋_GB2312"/>
          <w:color w:val="060606"/>
          <w:sz w:val="28"/>
          <w:szCs w:val="28"/>
          <w:u w:val="single"/>
        </w:rPr>
        <w:t>柳石路147 号鱼峰区综合行政执法局</w:t>
      </w:r>
    </w:p>
    <w:p w14:paraId="5BF2AA29">
      <w:pPr>
        <w:keepNext w:val="0"/>
        <w:keepLines w:val="0"/>
        <w:pageBreakBefore w:val="0"/>
        <w:widowControl w:val="0"/>
        <w:kinsoku/>
        <w:wordWrap/>
        <w:topLinePunct w:val="0"/>
        <w:autoSpaceDE/>
        <w:autoSpaceDN/>
        <w:bidi w:val="0"/>
        <w:spacing w:line="440" w:lineRule="exact"/>
        <w:ind w:right="280" w:firstLine="4200" w:firstLineChars="1500"/>
        <w:jc w:val="right"/>
        <w:textAlignment w:val="auto"/>
        <w:rPr>
          <w:rFonts w:eastAsia="仿宋_GB2312"/>
          <w:sz w:val="28"/>
          <w:szCs w:val="28"/>
        </w:rPr>
      </w:pPr>
    </w:p>
    <w:p w14:paraId="31615139">
      <w:pPr>
        <w:keepNext w:val="0"/>
        <w:keepLines w:val="0"/>
        <w:pageBreakBefore w:val="0"/>
        <w:widowControl w:val="0"/>
        <w:kinsoku/>
        <w:wordWrap/>
        <w:topLinePunct w:val="0"/>
        <w:autoSpaceDE/>
        <w:autoSpaceDN/>
        <w:bidi w:val="0"/>
        <w:spacing w:line="440" w:lineRule="exact"/>
        <w:ind w:firstLine="5040" w:firstLineChars="1800"/>
        <w:jc w:val="left"/>
        <w:textAlignment w:val="auto"/>
        <w:rPr>
          <w:rFonts w:ascii="仿宋_GB2312" w:hAnsi="仿宋" w:eastAsia="仿宋_GB2312" w:cs="仿宋"/>
          <w:sz w:val="28"/>
          <w:szCs w:val="28"/>
        </w:rPr>
      </w:pPr>
      <w:r>
        <w:rPr>
          <w:rFonts w:eastAsia="仿宋_GB2312"/>
          <w:sz w:val="28"/>
          <w:szCs w:val="28"/>
        </w:rPr>
        <w:t>柳州市鱼峰区综合行政执法</w:t>
      </w:r>
      <w:r>
        <w:rPr>
          <w:rFonts w:hint="eastAsia" w:ascii="仿宋_GB2312" w:hAnsi="仿宋" w:eastAsia="仿宋_GB2312" w:cs="仿宋"/>
          <w:sz w:val="28"/>
          <w:szCs w:val="28"/>
        </w:rPr>
        <w:t>局</w:t>
      </w:r>
    </w:p>
    <w:p w14:paraId="46B70184">
      <w:pPr>
        <w:keepNext w:val="0"/>
        <w:keepLines w:val="0"/>
        <w:pageBreakBefore w:val="0"/>
        <w:widowControl w:val="0"/>
        <w:kinsoku/>
        <w:wordWrap/>
        <w:topLinePunct w:val="0"/>
        <w:autoSpaceDE/>
        <w:autoSpaceDN/>
        <w:bidi w:val="0"/>
        <w:spacing w:line="440" w:lineRule="exact"/>
        <w:ind w:right="840" w:firstLine="5320" w:firstLineChars="1900"/>
        <w:textAlignment w:val="auto"/>
        <w:rPr>
          <w:rFonts w:ascii="仿宋_GB2312" w:hAnsi="仿宋_GB2312" w:eastAsia="仿宋_GB2312" w:cs="仿宋_GB2312"/>
          <w:sz w:val="28"/>
          <w:szCs w:val="28"/>
        </w:rPr>
      </w:pPr>
      <w:bookmarkStart w:id="0" w:name="_GoBack"/>
      <w:r>
        <w:rPr>
          <w:rFonts w:hint="eastAsia" w:ascii="仿宋_GB2312" w:hAnsi="仿宋_GB2312" w:eastAsia="仿宋_GB2312" w:cs="仿宋_GB2312"/>
          <w:sz w:val="28"/>
          <w:szCs w:val="28"/>
          <w:lang w:val="en-US" w:eastAsia="zh-CN"/>
        </w:rPr>
        <w:t>二〇二五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一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三 </w:t>
      </w:r>
      <w:r>
        <w:rPr>
          <w:rFonts w:hint="eastAsia" w:ascii="仿宋_GB2312" w:hAnsi="仿宋_GB2312" w:eastAsia="仿宋_GB2312" w:cs="仿宋_GB2312"/>
          <w:sz w:val="28"/>
          <w:szCs w:val="28"/>
        </w:rPr>
        <w:t xml:space="preserve">日  </w:t>
      </w:r>
      <w:bookmarkEnd w:id="0"/>
      <w:r>
        <w:rPr>
          <w:rFonts w:hint="eastAsia" w:ascii="仿宋_GB2312" w:hAnsi="仿宋_GB2312" w:eastAsia="仿宋_GB2312" w:cs="仿宋_GB2312"/>
          <w:sz w:val="28"/>
          <w:szCs w:val="28"/>
        </w:rPr>
        <w:t xml:space="preserve"> </w:t>
      </w:r>
    </w:p>
    <w:p w14:paraId="57C40BD6">
      <w:pPr>
        <w:overflowPunct w:val="0"/>
        <w:snapToGrid w:val="0"/>
        <w:spacing w:line="320" w:lineRule="exact"/>
        <w:jc w:val="left"/>
        <w:rPr>
          <w:rFonts w:ascii="仿宋_GB2312" w:eastAsia="仿宋_GB2312"/>
          <w:color w:val="0000FF"/>
          <w:sz w:val="28"/>
          <w:szCs w:val="28"/>
        </w:rPr>
      </w:pPr>
      <w:r>
        <w:rPr>
          <w:rFonts w:hint="eastAsia" w:ascii="仿宋_GB2312" w:eastAsia="仿宋_GB2312"/>
          <w:sz w:val="28"/>
          <w:szCs w:val="28"/>
        </w:rPr>
        <w:t>附：《中华人民共和国城乡规划法》</w:t>
      </w:r>
    </w:p>
    <w:p w14:paraId="4E127C87">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018567BD">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w:t>
      </w:r>
      <w:r>
        <w:rPr>
          <w:rFonts w:eastAsia="仿宋_GB2312"/>
          <w:kern w:val="0"/>
          <w:sz w:val="24"/>
        </w:rPr>
        <w:t>罚款。</w:t>
      </w:r>
    </w:p>
    <w:p w14:paraId="391FAD94">
      <w:pPr>
        <w:spacing w:line="200" w:lineRule="exact"/>
        <w:jc w:val="left"/>
        <w:rPr>
          <w:rFonts w:eastAsia="仿宋_GB2312"/>
          <w:sz w:val="28"/>
          <w:szCs w:val="28"/>
        </w:rPr>
      </w:pPr>
      <w:r>
        <w:rPr>
          <w:rFonts w:hint="eastAsia" w:eastAsia="仿宋_GB2312"/>
          <w:sz w:val="28"/>
          <w:szCs w:val="28"/>
          <w:u w:val="single"/>
        </w:rPr>
        <w:t xml:space="preserve">                                                                   </w:t>
      </w:r>
      <w:r>
        <w:rPr>
          <w:rFonts w:eastAsia="仿宋_GB2312"/>
          <w:sz w:val="28"/>
          <w:szCs w:val="28"/>
        </w:rPr>
        <w:t xml:space="preserve">                                                  </w:t>
      </w:r>
    </w:p>
    <w:p w14:paraId="53C2E1F4">
      <w:pPr>
        <w:spacing w:line="480" w:lineRule="exact"/>
        <w:ind w:firstLine="5740" w:firstLineChars="2050"/>
        <w:jc w:val="left"/>
        <w:rPr>
          <w:rFonts w:ascii="仿宋_GB2312" w:eastAsia="仿宋_GB2312"/>
          <w:bCs/>
          <w:sz w:val="28"/>
          <w:szCs w:val="28"/>
        </w:rPr>
      </w:pPr>
      <w:r>
        <w:rPr>
          <w:rFonts w:eastAsia="仿宋_GB2312"/>
          <w:sz w:val="28"/>
          <w:szCs w:val="28"/>
        </w:rPr>
        <w:t>第</w:t>
      </w:r>
      <w:r>
        <w:rPr>
          <w:rFonts w:hint="eastAsia" w:eastAsia="仿宋_GB2312"/>
          <w:sz w:val="28"/>
          <w:szCs w:val="28"/>
        </w:rPr>
        <w:t>二</w:t>
      </w:r>
      <w:r>
        <w:rPr>
          <w:rFonts w:eastAsia="仿宋_GB2312"/>
          <w:sz w:val="28"/>
          <w:szCs w:val="28"/>
        </w:rPr>
        <w:t>联</w:t>
      </w:r>
      <w:r>
        <w:rPr>
          <w:rFonts w:hint="eastAsia" w:ascii="仿宋_GB2312" w:eastAsia="仿宋_GB2312"/>
          <w:sz w:val="28"/>
          <w:szCs w:val="28"/>
        </w:rPr>
        <w:t>：交当事人（共二联）</w:t>
      </w:r>
    </w:p>
    <w:sectPr>
      <w:pgSz w:w="11906" w:h="16838"/>
      <w:pgMar w:top="1418" w:right="1134"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6F"/>
    <w:rsid w:val="000929FC"/>
    <w:rsid w:val="00187718"/>
    <w:rsid w:val="00286491"/>
    <w:rsid w:val="00322112"/>
    <w:rsid w:val="003350E6"/>
    <w:rsid w:val="003711C3"/>
    <w:rsid w:val="003945F8"/>
    <w:rsid w:val="00396EC3"/>
    <w:rsid w:val="003E5018"/>
    <w:rsid w:val="004215D8"/>
    <w:rsid w:val="00497CBD"/>
    <w:rsid w:val="004A60AC"/>
    <w:rsid w:val="005B3696"/>
    <w:rsid w:val="00623E38"/>
    <w:rsid w:val="006807E9"/>
    <w:rsid w:val="006F6B06"/>
    <w:rsid w:val="008F7A88"/>
    <w:rsid w:val="00917778"/>
    <w:rsid w:val="0096356F"/>
    <w:rsid w:val="00965E74"/>
    <w:rsid w:val="00A52E7C"/>
    <w:rsid w:val="00A7711D"/>
    <w:rsid w:val="00B010C5"/>
    <w:rsid w:val="00BD1D78"/>
    <w:rsid w:val="00C66CF7"/>
    <w:rsid w:val="00CD66DE"/>
    <w:rsid w:val="00CD74EE"/>
    <w:rsid w:val="00CF3B4E"/>
    <w:rsid w:val="00D21EFA"/>
    <w:rsid w:val="00EF788E"/>
    <w:rsid w:val="00FB10EC"/>
    <w:rsid w:val="00FC54E2"/>
    <w:rsid w:val="00FF3498"/>
    <w:rsid w:val="10C95A18"/>
    <w:rsid w:val="17FB75FF"/>
    <w:rsid w:val="23C62FBD"/>
    <w:rsid w:val="2C5925E9"/>
    <w:rsid w:val="413A6513"/>
    <w:rsid w:val="4B4B2196"/>
    <w:rsid w:val="55CA644D"/>
    <w:rsid w:val="6376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1572</Words>
  <Characters>1630</Characters>
  <Lines>14</Lines>
  <Paragraphs>4</Paragraphs>
  <TotalTime>1</TotalTime>
  <ScaleCrop>false</ScaleCrop>
  <LinksUpToDate>false</LinksUpToDate>
  <CharactersWithSpaces>1961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2024-12-04T07:46:00Z</dcterms:created>
  <dc:creator>User</dc:creator>
  <cp:lastModifiedBy>举个栗子</cp:lastModifiedBy>
  <cp:lastPrinted>2024-12-18T08:07:00Z</cp:lastPrinted>
  <dcterms:modified xsi:type="dcterms:W3CDTF">2025-10-14T09:04:58Z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5609D1B49F804C3197DA919982255E2B_13</vt:lpwstr>
  </property>
  <property fmtid="{D5CDD505-2E9C-101B-9397-08002B2CF9AE}" pid="4" name="KSOTemplateDocerSaveRecord">
    <vt:lpwstr>eyJoZGlkIjoiNTQ0OTkzYjE0MWU4MDBiYzE3Y2NhNTYzZmFhMzdlNzMiLCJ1c2VySWQiOiI5Mjc4NTIwMjMifQ==</vt:lpwstr>
  </property>
</Properties>
</file>