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4F655">
      <w:pPr>
        <w:spacing w:line="600" w:lineRule="exact"/>
        <w:rPr>
          <w:rFonts w:hint="eastAsia" w:ascii="Times New Roman" w:hAnsi="Times New Roman" w:eastAsia="黑体" w:cs="黑体"/>
          <w:sz w:val="32"/>
          <w:szCs w:val="32"/>
          <w:lang w:eastAsia="zh-CN"/>
        </w:rPr>
      </w:pPr>
      <w:bookmarkStart w:id="0" w:name="_GoBack"/>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6：</w:t>
      </w:r>
    </w:p>
    <w:p w14:paraId="161D9093">
      <w:pPr>
        <w:rPr>
          <w:rFonts w:ascii="Times New Roman" w:hAnsi="Times New Roman" w:eastAsia="仿宋_GB2312" w:cs="仿宋_GB2312"/>
        </w:rPr>
      </w:pPr>
    </w:p>
    <w:p w14:paraId="3DB21FC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6</w:t>
      </w:r>
      <w:r>
        <w:rPr>
          <w:rFonts w:hint="eastAsia" w:ascii="Times New Roman" w:hAnsi="Times New Roman" w:eastAsia="方正小标宋简体" w:cs="方正小标宋简体"/>
          <w:sz w:val="44"/>
          <w:szCs w:val="44"/>
        </w:rPr>
        <w:t>年自治区畜产品风险监测计划表</w:t>
      </w:r>
    </w:p>
    <w:bookmarkEnd w:id="0"/>
    <w:p w14:paraId="294D4950">
      <w:pPr>
        <w:spacing w:line="600" w:lineRule="exact"/>
        <w:rPr>
          <w:rFonts w:hint="eastAsia" w:ascii="Times New Roman" w:hAnsi="Times New Roman" w:eastAsia="仿宋_GB2312" w:cs="仿宋_GB2312"/>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353"/>
        <w:gridCol w:w="1222"/>
        <w:gridCol w:w="4813"/>
      </w:tblGrid>
      <w:tr w14:paraId="5A0B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14:paraId="2E9439BD">
            <w:pPr>
              <w:spacing w:line="600" w:lineRule="exact"/>
              <w:jc w:val="center"/>
              <w:rPr>
                <w:rFonts w:ascii="Times New Roman" w:hAnsi="Times New Roman" w:eastAsia="仿宋_GB2312" w:cs="仿宋_GB2312"/>
                <w:sz w:val="44"/>
                <w:szCs w:val="44"/>
                <w:vertAlign w:val="baseline"/>
              </w:rPr>
            </w:pPr>
            <w:r>
              <w:rPr>
                <w:rFonts w:hint="eastAsia" w:ascii="Times New Roman" w:hAnsi="Times New Roman" w:eastAsia="仿宋_GB2312" w:cs="仿宋_GB2312"/>
                <w:sz w:val="28"/>
                <w:szCs w:val="28"/>
              </w:rPr>
              <w:t>检测区域</w:t>
            </w:r>
          </w:p>
        </w:tc>
        <w:tc>
          <w:tcPr>
            <w:tcW w:w="1380" w:type="dxa"/>
          </w:tcPr>
          <w:p w14:paraId="47614E06">
            <w:pPr>
              <w:spacing w:line="600" w:lineRule="exact"/>
              <w:jc w:val="center"/>
              <w:rPr>
                <w:rFonts w:hint="eastAsia" w:ascii="Times New Roman" w:hAnsi="Times New Roman" w:eastAsia="仿宋_GB2312" w:cs="仿宋_GB2312"/>
                <w:sz w:val="44"/>
                <w:szCs w:val="44"/>
                <w:vertAlign w:val="baseline"/>
                <w:lang w:val="en-US" w:eastAsia="zh-CN"/>
              </w:rPr>
            </w:pPr>
            <w:r>
              <w:rPr>
                <w:rFonts w:hint="eastAsia" w:ascii="Times New Roman" w:hAnsi="Times New Roman" w:eastAsia="仿宋_GB2312" w:cs="仿宋_GB2312"/>
                <w:sz w:val="28"/>
                <w:szCs w:val="28"/>
                <w:lang w:val="en-US" w:eastAsia="zh-CN"/>
              </w:rPr>
              <w:t>猪肉</w:t>
            </w:r>
          </w:p>
        </w:tc>
        <w:tc>
          <w:tcPr>
            <w:tcW w:w="1245" w:type="dxa"/>
          </w:tcPr>
          <w:p w14:paraId="61D843D5">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禽肉</w:t>
            </w:r>
          </w:p>
        </w:tc>
        <w:tc>
          <w:tcPr>
            <w:tcW w:w="4951" w:type="dxa"/>
          </w:tcPr>
          <w:p w14:paraId="7BEB6125">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备注</w:t>
            </w:r>
          </w:p>
        </w:tc>
      </w:tr>
      <w:tr w14:paraId="07AA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14:paraId="4F32F2FB">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雒容镇</w:t>
            </w:r>
          </w:p>
        </w:tc>
        <w:tc>
          <w:tcPr>
            <w:tcW w:w="1380" w:type="dxa"/>
          </w:tcPr>
          <w:p w14:paraId="6C972A7F">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3</w:t>
            </w:r>
          </w:p>
        </w:tc>
        <w:tc>
          <w:tcPr>
            <w:tcW w:w="1245" w:type="dxa"/>
          </w:tcPr>
          <w:p w14:paraId="711B2453">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0</w:t>
            </w:r>
          </w:p>
        </w:tc>
        <w:tc>
          <w:tcPr>
            <w:tcW w:w="4951" w:type="dxa"/>
            <w:vMerge w:val="restart"/>
          </w:tcPr>
          <w:p w14:paraId="2222A1CF">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各</w:t>
            </w:r>
            <w:r>
              <w:rPr>
                <w:rFonts w:hint="eastAsia" w:ascii="Times New Roman" w:hAnsi="Times New Roman" w:eastAsia="仿宋_GB2312" w:cs="仿宋_GB2312"/>
                <w:sz w:val="28"/>
                <w:szCs w:val="28"/>
                <w:lang w:val="zh-CN"/>
              </w:rPr>
              <w:t>检测单位</w:t>
            </w:r>
            <w:r>
              <w:rPr>
                <w:rFonts w:hint="eastAsia" w:ascii="Times New Roman" w:hAnsi="Times New Roman" w:eastAsia="仿宋_GB2312" w:cs="仿宋_GB2312"/>
                <w:sz w:val="28"/>
                <w:szCs w:val="28"/>
                <w:lang w:val="en-US" w:eastAsia="zh-CN"/>
              </w:rPr>
              <w:t>按照</w:t>
            </w:r>
            <w:r>
              <w:rPr>
                <w:rFonts w:hint="eastAsia" w:ascii="Times New Roman" w:hAnsi="Times New Roman" w:eastAsia="仿宋_GB2312" w:cs="仿宋_GB2312"/>
                <w:sz w:val="28"/>
                <w:szCs w:val="28"/>
              </w:rPr>
              <w:t>鱼峰</w:t>
            </w:r>
            <w:r>
              <w:rPr>
                <w:rFonts w:hint="eastAsia" w:ascii="Times New Roman" w:hAnsi="Times New Roman" w:eastAsia="仿宋_GB2312" w:cs="仿宋_GB2312"/>
                <w:sz w:val="28"/>
                <w:szCs w:val="28"/>
                <w:lang w:val="en-US" w:eastAsia="zh-CN"/>
              </w:rPr>
              <w:t>区农业综合行政执法大队通知开展</w:t>
            </w:r>
            <w:r>
              <w:rPr>
                <w:rFonts w:hint="eastAsia" w:ascii="Times New Roman" w:hAnsi="Times New Roman" w:eastAsia="仿宋_GB2312" w:cs="仿宋_GB2312"/>
                <w:sz w:val="28"/>
                <w:szCs w:val="28"/>
                <w:lang w:val="zh-CN"/>
              </w:rPr>
              <w:t>检测</w:t>
            </w:r>
          </w:p>
        </w:tc>
      </w:tr>
      <w:tr w14:paraId="20C1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14:paraId="71353A44">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合计</w:t>
            </w:r>
          </w:p>
        </w:tc>
        <w:tc>
          <w:tcPr>
            <w:tcW w:w="2625" w:type="dxa"/>
            <w:gridSpan w:val="2"/>
          </w:tcPr>
          <w:p w14:paraId="37BACF05">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3</w:t>
            </w:r>
          </w:p>
        </w:tc>
        <w:tc>
          <w:tcPr>
            <w:tcW w:w="4951" w:type="dxa"/>
            <w:vMerge w:val="continue"/>
          </w:tcPr>
          <w:p w14:paraId="7FEE664B">
            <w:pPr>
              <w:spacing w:line="600" w:lineRule="exact"/>
              <w:jc w:val="center"/>
              <w:rPr>
                <w:rFonts w:ascii="Times New Roman" w:hAnsi="Times New Roman" w:eastAsia="仿宋_GB2312" w:cs="仿宋_GB2312"/>
                <w:sz w:val="44"/>
                <w:szCs w:val="44"/>
                <w:vertAlign w:val="baseline"/>
              </w:rPr>
            </w:pPr>
          </w:p>
        </w:tc>
      </w:tr>
    </w:tbl>
    <w:p w14:paraId="3D0EB90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Cs w:val="21"/>
        </w:rPr>
      </w:pPr>
    </w:p>
    <w:p w14:paraId="7CAA8249">
      <w:pPr>
        <w:keepNext w:val="0"/>
        <w:keepLines w:val="0"/>
        <w:pageBreakBefore w:val="0"/>
        <w:widowControl/>
        <w:kinsoku/>
        <w:wordWrap/>
        <w:overflowPunct/>
        <w:topLinePunct w:val="0"/>
        <w:autoSpaceDE/>
        <w:autoSpaceDN/>
        <w:bidi w:val="0"/>
        <w:adjustRightInd/>
        <w:snapToGrid/>
        <w:spacing w:line="300" w:lineRule="exact"/>
        <w:ind w:left="840" w:hanging="840" w:hangingChars="4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说明：</w:t>
      </w:r>
      <w:r>
        <w:rPr>
          <w:rFonts w:hint="eastAsia" w:ascii="Times New Roman" w:hAnsi="Times New Roman" w:eastAsia="仿宋_GB2312" w:cs="仿宋_GB2312"/>
          <w:szCs w:val="21"/>
        </w:rPr>
        <w:t>1</w:t>
      </w:r>
      <w:r>
        <w:rPr>
          <w:rFonts w:hint="eastAsia" w:ascii="仿宋_GB2312" w:hAnsi="仿宋_GB2312" w:eastAsia="仿宋_GB2312" w:cs="仿宋_GB2312"/>
          <w:szCs w:val="21"/>
        </w:rPr>
        <w:t>、抽检地点为养殖产地、屠宰场。但在屠宰场抽样要满足两个条件：一是本地产品；二是来源清楚，可溯源到具体产地名称和地址，同一个产地一次最多可抽</w:t>
      </w:r>
      <w:r>
        <w:rPr>
          <w:rFonts w:hint="eastAsia" w:ascii="Times New Roman" w:hAnsi="Times New Roman" w:eastAsia="仿宋_GB2312" w:cs="仿宋_GB2312"/>
          <w:szCs w:val="21"/>
        </w:rPr>
        <w:t>1</w:t>
      </w:r>
      <w:r>
        <w:rPr>
          <w:rFonts w:hint="eastAsia" w:ascii="仿宋_GB2312" w:hAnsi="仿宋_GB2312" w:eastAsia="仿宋_GB2312" w:cs="仿宋_GB2312"/>
          <w:szCs w:val="21"/>
        </w:rPr>
        <w:t>个样品。在抽样单中，须填写清楚样品来源。</w:t>
      </w:r>
    </w:p>
    <w:p w14:paraId="11A95EF6">
      <w:pPr>
        <w:keepNext w:val="0"/>
        <w:keepLines w:val="0"/>
        <w:pageBreakBefore w:val="0"/>
        <w:widowControl/>
        <w:kinsoku/>
        <w:wordWrap/>
        <w:overflowPunct/>
        <w:topLinePunct w:val="0"/>
        <w:autoSpaceDE/>
        <w:autoSpaceDN/>
        <w:bidi w:val="0"/>
        <w:adjustRightInd/>
        <w:snapToGrid/>
        <w:spacing w:line="300" w:lineRule="exact"/>
        <w:ind w:firstLine="630" w:firstLineChars="300"/>
        <w:textAlignment w:val="auto"/>
        <w:rPr>
          <w:rFonts w:hint="eastAsia" w:ascii="仿宋_GB2312" w:hAnsi="仿宋_GB2312" w:eastAsia="仿宋_GB2312" w:cs="仿宋_GB2312"/>
          <w:szCs w:val="21"/>
        </w:rPr>
      </w:pPr>
      <w:r>
        <w:rPr>
          <w:rFonts w:hint="eastAsia" w:ascii="Times New Roman" w:hAnsi="Times New Roman" w:eastAsia="仿宋_GB2312" w:cs="仿宋_GB2312"/>
          <w:szCs w:val="21"/>
        </w:rPr>
        <w:t>2</w:t>
      </w:r>
      <w:r>
        <w:rPr>
          <w:rFonts w:hint="eastAsia" w:ascii="仿宋_GB2312" w:hAnsi="仿宋_GB2312" w:eastAsia="仿宋_GB2312" w:cs="仿宋_GB2312"/>
          <w:szCs w:val="21"/>
        </w:rPr>
        <w:t>、β-受体激动剂检测项目样品由各市抽样后送到自治区畜牧产品质量检测中心检测。</w:t>
      </w:r>
    </w:p>
    <w:p w14:paraId="2F9F7314">
      <w:pPr>
        <w:keepNext w:val="0"/>
        <w:keepLines w:val="0"/>
        <w:pageBreakBefore w:val="0"/>
        <w:widowControl/>
        <w:kinsoku/>
        <w:wordWrap/>
        <w:overflowPunct/>
        <w:topLinePunct w:val="0"/>
        <w:autoSpaceDE/>
        <w:autoSpaceDN/>
        <w:bidi w:val="0"/>
        <w:adjustRightInd/>
        <w:snapToGrid/>
        <w:spacing w:line="300" w:lineRule="exact"/>
        <w:ind w:left="840" w:leftChars="300" w:hanging="210" w:hangingChars="100"/>
        <w:textAlignment w:val="auto"/>
        <w:rPr>
          <w:rFonts w:hint="eastAsia" w:ascii="仿宋_GB2312" w:hAnsi="仿宋_GB2312" w:eastAsia="仿宋_GB2312" w:cs="仿宋_GB2312"/>
          <w:szCs w:val="21"/>
        </w:rPr>
      </w:pPr>
      <w:r>
        <w:rPr>
          <w:rFonts w:hint="eastAsia" w:ascii="Times New Roman" w:hAnsi="Times New Roman" w:eastAsia="仿宋_GB2312" w:cs="仿宋_GB2312"/>
          <w:szCs w:val="21"/>
        </w:rPr>
        <w:t>3</w:t>
      </w:r>
      <w:r>
        <w:rPr>
          <w:rFonts w:hint="eastAsia" w:ascii="仿宋_GB2312" w:hAnsi="仿宋_GB2312" w:eastAsia="仿宋_GB2312" w:cs="仿宋_GB2312"/>
          <w:szCs w:val="21"/>
        </w:rPr>
        <w:t>、风险筛查禽肉、禽蛋样品由自治区畜牧产品质量检测中心从本年度质量安全监督抽查样品中抽取检测。</w:t>
      </w:r>
    </w:p>
    <w:p w14:paraId="75AB4891">
      <w:pPr>
        <w:keepNext w:val="0"/>
        <w:keepLines w:val="0"/>
        <w:pageBreakBefore w:val="0"/>
        <w:widowControl/>
        <w:kinsoku/>
        <w:wordWrap/>
        <w:overflowPunct/>
        <w:topLinePunct w:val="0"/>
        <w:autoSpaceDE/>
        <w:autoSpaceDN/>
        <w:bidi w:val="0"/>
        <w:adjustRightInd/>
        <w:snapToGrid/>
        <w:spacing w:line="300" w:lineRule="exact"/>
        <w:ind w:firstLine="630" w:firstLineChars="300"/>
        <w:textAlignment w:val="auto"/>
        <w:rPr>
          <w:rFonts w:hint="eastAsia" w:ascii="仿宋_GB2312" w:hAnsi="仿宋_GB2312" w:eastAsia="仿宋_GB2312" w:cs="仿宋_GB2312"/>
          <w:szCs w:val="21"/>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Times New Roman" w:hAnsi="Times New Roman" w:eastAsia="仿宋_GB2312" w:cs="仿宋_GB2312"/>
          <w:szCs w:val="21"/>
        </w:rPr>
        <w:t>4</w:t>
      </w:r>
      <w:r>
        <w:rPr>
          <w:rFonts w:hint="eastAsia" w:ascii="仿宋_GB2312" w:hAnsi="仿宋_GB2312" w:eastAsia="仿宋_GB2312" w:cs="仿宋_GB2312"/>
          <w:szCs w:val="21"/>
        </w:rPr>
        <w:t>、猪肉样品随机抽取三分之一样品各一份送到自治区畜牧产品质量检测中心检测其他项目。</w:t>
      </w:r>
    </w:p>
    <w:p w14:paraId="25657D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17AF">
    <w:pPr>
      <w:pStyle w:val="2"/>
      <w:wordWrap w:val="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37E4D">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937E4D">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7578"/>
    <w:rsid w:val="4C57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2026-05-11T09:37:00Z</dcterms:created>
  <dc:creator>Cherry </dc:creator>
  <cp:lastModifiedBy>Cherry </cp:lastModifiedBy>
  <dcterms:modified xsi:type="dcterms:W3CDTF">2026-05-11T09:38:21Z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BE81295895184632839437779CCA5AF0_11</vt:lpwstr>
  </property>
  <property fmtid="{D5CDD505-2E9C-101B-9397-08002B2CF9AE}" pid="4" name="KSOTemplateDocerSaveRecord">
    <vt:lpwstr>eyJoZGlkIjoiYjVkYzQ2MTZkNWFhZGZjMGExYzcxMDRmZDNhZDQxMDQiLCJ1c2VySWQiOiIyODA2NzQ4MTEifQ==</vt:lpwstr>
  </property>
</Properties>
</file>