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F9D1">
      <w:pPr>
        <w:spacing w:line="510" w:lineRule="exact"/>
        <w:jc w:val="center"/>
        <w:rPr>
          <w:rFonts w:eastAsia="方正小标宋简体"/>
          <w:bCs/>
          <w:sz w:val="32"/>
          <w:szCs w:val="32"/>
        </w:rPr>
      </w:pPr>
      <w:r>
        <w:rPr>
          <w:rFonts w:eastAsia="方正小标宋简体"/>
          <w:bCs/>
          <w:sz w:val="32"/>
          <w:szCs w:val="32"/>
        </w:rPr>
        <w:t>柳州市鱼峰区综合行政执法局</w:t>
      </w:r>
    </w:p>
    <w:p w14:paraId="0C29AB09">
      <w:pPr>
        <w:spacing w:line="510" w:lineRule="exact"/>
        <w:jc w:val="center"/>
        <w:rPr>
          <w:b/>
          <w:bCs/>
          <w:sz w:val="44"/>
        </w:rPr>
      </w:pPr>
      <w:r>
        <w:rPr>
          <w:rFonts w:eastAsia="方正小标宋简体"/>
          <w:sz w:val="44"/>
        </w:rPr>
        <w:t>行政处罚告知</w:t>
      </w:r>
      <w:r>
        <w:rPr>
          <w:rFonts w:eastAsia="方正小标宋简体"/>
          <w:bCs/>
          <w:sz w:val="44"/>
          <w:szCs w:val="44"/>
        </w:rPr>
        <w:t>书</w:t>
      </w:r>
    </w:p>
    <w:p w14:paraId="35931F29">
      <w:pPr>
        <w:snapToGrid w:val="0"/>
        <w:spacing w:line="560" w:lineRule="exact"/>
        <w:jc w:val="right"/>
        <w:outlineLvl w:val="0"/>
        <w:rPr>
          <w:rFonts w:eastAsia="仿宋"/>
          <w:bCs/>
          <w:sz w:val="28"/>
          <w:szCs w:val="28"/>
        </w:rPr>
      </w:pPr>
      <w:r>
        <w:rPr>
          <w:rFonts w:hint="eastAsia" w:eastAsia="仿宋_GB2312"/>
          <w:bCs/>
          <w:sz w:val="28"/>
          <w:szCs w:val="28"/>
        </w:rPr>
        <w:t>柳鱼峰综执</w:t>
      </w:r>
      <w:r>
        <w:rPr>
          <w:rFonts w:eastAsia="仿宋_GB2312"/>
          <w:bCs/>
          <w:sz w:val="28"/>
          <w:szCs w:val="28"/>
        </w:rPr>
        <w:t>罚告字</w:t>
      </w:r>
      <w:r>
        <w:rPr>
          <w:rFonts w:eastAsia="仿宋"/>
          <w:sz w:val="28"/>
          <w:szCs w:val="28"/>
        </w:rPr>
        <w:t>〔</w:t>
      </w:r>
      <w:r>
        <w:rPr>
          <w:rFonts w:hint="eastAsia" w:eastAsia="仿宋_GB2312"/>
          <w:sz w:val="28"/>
        </w:rPr>
        <w:t>2026</w:t>
      </w:r>
      <w:r>
        <w:rPr>
          <w:rFonts w:eastAsia="仿宋"/>
          <w:sz w:val="28"/>
          <w:szCs w:val="28"/>
        </w:rPr>
        <w:t>〕第</w:t>
      </w:r>
      <w:r>
        <w:rPr>
          <w:rFonts w:hint="eastAsia" w:eastAsia="仿宋_GB2312"/>
          <w:sz w:val="28"/>
        </w:rPr>
        <w:t>84029</w:t>
      </w:r>
      <w:r>
        <w:rPr>
          <w:rFonts w:eastAsia="仿宋"/>
          <w:sz w:val="28"/>
          <w:szCs w:val="28"/>
        </w:rPr>
        <w:t xml:space="preserve">号 </w:t>
      </w:r>
    </w:p>
    <w:p w14:paraId="681F25C8">
      <w:pPr>
        <w:snapToGrid w:val="0"/>
        <w:spacing w:line="360" w:lineRule="exact"/>
        <w:outlineLvl w:val="0"/>
        <w:rPr>
          <w:rFonts w:eastAsia="仿宋"/>
          <w:bCs/>
          <w:sz w:val="28"/>
          <w:szCs w:val="28"/>
          <w:u w:val="single"/>
        </w:rPr>
      </w:pPr>
      <w:r>
        <w:rPr>
          <w:rFonts w:eastAsia="仿宋"/>
          <w:bCs/>
          <w:sz w:val="28"/>
          <w:szCs w:val="28"/>
          <w:u w:val="single"/>
        </w:rPr>
        <w:t xml:space="preserve">  </w:t>
      </w:r>
      <w:r>
        <w:rPr>
          <w:rFonts w:hint="eastAsia" w:eastAsia="仿宋"/>
          <w:bCs/>
          <w:sz w:val="28"/>
          <w:szCs w:val="28"/>
          <w:u w:val="single"/>
        </w:rPr>
        <w:t>潘江周</w:t>
      </w:r>
      <w:r>
        <w:rPr>
          <w:rFonts w:eastAsia="仿宋"/>
          <w:bCs/>
          <w:sz w:val="28"/>
          <w:szCs w:val="28"/>
          <w:u w:val="single"/>
        </w:rPr>
        <w:t xml:space="preserve">   ：</w:t>
      </w:r>
    </w:p>
    <w:p w14:paraId="0DF96B36">
      <w:pPr>
        <w:spacing w:line="36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rPr>
        <w:t>2026</w:t>
      </w:r>
      <w:r>
        <w:rPr>
          <w:rFonts w:eastAsia="仿宋"/>
          <w:sz w:val="28"/>
          <w:szCs w:val="28"/>
        </w:rPr>
        <w:t>年</w:t>
      </w:r>
      <w:r>
        <w:rPr>
          <w:rFonts w:hint="eastAsia" w:eastAsia="仿宋"/>
          <w:sz w:val="28"/>
          <w:szCs w:val="28"/>
        </w:rPr>
        <w:t>3月23</w:t>
      </w:r>
      <w:r>
        <w:rPr>
          <w:rFonts w:eastAsia="仿宋"/>
          <w:sz w:val="28"/>
          <w:szCs w:val="28"/>
        </w:rPr>
        <w:t>日对你</w:t>
      </w:r>
      <w:r>
        <w:rPr>
          <w:rFonts w:eastAsia="仿宋"/>
          <w:strike/>
          <w:sz w:val="28"/>
          <w:szCs w:val="28"/>
        </w:rPr>
        <w:t>（单位）</w:t>
      </w:r>
      <w:r>
        <w:rPr>
          <w:rFonts w:eastAsia="仿宋"/>
          <w:sz w:val="28"/>
          <w:szCs w:val="28"/>
        </w:rPr>
        <w:t>涉嫌</w:t>
      </w:r>
      <w:r>
        <w:rPr>
          <w:rFonts w:eastAsia="仿宋"/>
          <w:sz w:val="28"/>
          <w:szCs w:val="28"/>
          <w:u w:val="single"/>
        </w:rPr>
        <w:t>未经许可擅自改变住宅外立面，在非承重外墙上</w:t>
      </w:r>
      <w:r>
        <w:rPr>
          <w:rFonts w:hint="eastAsia" w:eastAsia="仿宋"/>
          <w:sz w:val="28"/>
          <w:szCs w:val="28"/>
          <w:u w:val="single"/>
        </w:rPr>
        <w:t>开门</w:t>
      </w:r>
      <w:r>
        <w:rPr>
          <w:rFonts w:eastAsia="仿宋"/>
          <w:sz w:val="28"/>
          <w:szCs w:val="28"/>
        </w:rPr>
        <w:t>的行为予以立案调查。</w:t>
      </w:r>
    </w:p>
    <w:p w14:paraId="3492AC44">
      <w:pPr>
        <w:spacing w:line="360" w:lineRule="exact"/>
        <w:ind w:firstLine="515" w:firstLineChars="196"/>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w:t>
      </w:r>
      <w:r>
        <w:rPr>
          <w:rFonts w:eastAsia="仿宋"/>
          <w:sz w:val="28"/>
          <w:szCs w:val="28"/>
          <w:u w:val="single"/>
        </w:rPr>
        <w:t>在</w:t>
      </w:r>
      <w:r>
        <w:rPr>
          <w:rFonts w:hint="eastAsia" w:eastAsia="仿宋"/>
          <w:sz w:val="28"/>
          <w:szCs w:val="28"/>
          <w:u w:val="single"/>
        </w:rPr>
        <w:t>桂柳路1号之三兴怡园1栋1-15</w:t>
      </w:r>
      <w:r>
        <w:rPr>
          <w:rFonts w:eastAsia="仿宋"/>
          <w:sz w:val="28"/>
          <w:szCs w:val="28"/>
          <w:u w:val="single"/>
        </w:rPr>
        <w:t>擅自改变住宅外立面，在非承重外墙上</w:t>
      </w:r>
      <w:r>
        <w:rPr>
          <w:rFonts w:hint="eastAsia" w:eastAsia="仿宋"/>
          <w:sz w:val="28"/>
          <w:szCs w:val="28"/>
          <w:u w:val="single"/>
        </w:rPr>
        <w:t>开门</w:t>
      </w:r>
      <w:r>
        <w:rPr>
          <w:rFonts w:eastAsia="仿宋"/>
          <w:sz w:val="28"/>
          <w:szCs w:val="28"/>
          <w:u w:val="single"/>
        </w:rPr>
        <w:t>（改动面积为</w:t>
      </w:r>
      <w:r>
        <w:rPr>
          <w:rFonts w:hint="eastAsia" w:eastAsia="仿宋"/>
          <w:sz w:val="28"/>
          <w:szCs w:val="28"/>
          <w:u w:val="single"/>
        </w:rPr>
        <w:t>2.4</w:t>
      </w:r>
      <w:r>
        <w:rPr>
          <w:rFonts w:eastAsia="仿宋"/>
          <w:sz w:val="28"/>
          <w:szCs w:val="28"/>
          <w:u w:val="single"/>
        </w:rPr>
        <w:t>平方米）,</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szCs w:val="28"/>
          <w:u w:val="single"/>
        </w:rPr>
        <w:t>《住宅室内装饰装修管理办法》第六条第一款第（二）项及《中华人民共和国城乡规划法》第四十条第一款</w:t>
      </w:r>
      <w:r>
        <w:rPr>
          <w:rFonts w:eastAsia="仿宋"/>
          <w:sz w:val="28"/>
          <w:szCs w:val="28"/>
        </w:rPr>
        <w:t>的规定，</w:t>
      </w:r>
      <w:r>
        <w:rPr>
          <w:rFonts w:eastAsia="仿宋"/>
          <w:sz w:val="28"/>
          <w:szCs w:val="28"/>
          <w:u w:val="single"/>
        </w:rPr>
        <w:t>根据《住宅室内装饰装修管理办法》第三十九条及《中华人民共和国城乡规划法》第六十四条的规定，</w:t>
      </w:r>
      <w:r>
        <w:rPr>
          <w:rFonts w:eastAsia="仿宋"/>
          <w:sz w:val="28"/>
          <w:szCs w:val="28"/>
        </w:rPr>
        <w:t>拟对你</w:t>
      </w:r>
      <w:r>
        <w:rPr>
          <w:rFonts w:eastAsia="仿宋"/>
          <w:strike/>
          <w:sz w:val="28"/>
          <w:szCs w:val="28"/>
        </w:rPr>
        <w:t>（单位）</w:t>
      </w:r>
      <w:r>
        <w:rPr>
          <w:rFonts w:eastAsia="仿宋"/>
          <w:sz w:val="28"/>
          <w:szCs w:val="28"/>
        </w:rPr>
        <w:t>作出如下行政处罚：</w:t>
      </w:r>
      <w:r>
        <w:rPr>
          <w:rFonts w:eastAsia="仿宋"/>
          <w:sz w:val="28"/>
          <w:szCs w:val="28"/>
          <w:u w:val="single"/>
        </w:rPr>
        <w:t>责令限期恢复原状。</w:t>
      </w:r>
    </w:p>
    <w:p w14:paraId="79E788A3">
      <w:pPr>
        <w:spacing w:line="360" w:lineRule="exact"/>
        <w:ind w:firstLine="515" w:firstLineChars="196"/>
        <w:jc w:val="left"/>
        <w:rPr>
          <w:rFonts w:eastAsia="仿宋"/>
          <w:sz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w:t>
      </w:r>
      <w:r>
        <w:rPr>
          <w:rFonts w:eastAsia="仿宋"/>
          <w:sz w:val="28"/>
        </w:rPr>
        <w:t>述、申辩。</w:t>
      </w:r>
    </w:p>
    <w:p w14:paraId="4271D08C">
      <w:pPr>
        <w:spacing w:line="360" w:lineRule="exact"/>
        <w:ind w:firstLine="515" w:firstLineChars="196"/>
        <w:jc w:val="left"/>
        <w:rPr>
          <w:rFonts w:eastAsia="仿宋"/>
          <w:sz w:val="28"/>
          <w:szCs w:val="28"/>
          <w:u w:val="single"/>
        </w:rPr>
      </w:pPr>
      <w:r>
        <w:rPr>
          <w:rFonts w:eastAsia="仿宋"/>
          <w:sz w:val="28"/>
        </w:rPr>
        <w:t>逾期不提供书面陈述、申辩意见，本机关将依法作出行政处罚决定。</w:t>
      </w:r>
    </w:p>
    <w:p w14:paraId="235A641A">
      <w:pPr>
        <w:overflowPunct w:val="0"/>
        <w:adjustRightInd w:val="0"/>
        <w:snapToGrid w:val="0"/>
        <w:spacing w:line="360" w:lineRule="exact"/>
        <w:ind w:firstLine="426" w:firstLineChars="191"/>
        <w:jc w:val="left"/>
        <w:rPr>
          <w:rFonts w:eastAsia="仿宋"/>
          <w:sz w:val="24"/>
        </w:rPr>
      </w:pPr>
    </w:p>
    <w:p w14:paraId="5DBEF9BB">
      <w:pPr>
        <w:overflowPunct w:val="0"/>
        <w:adjustRightInd w:val="0"/>
        <w:snapToGrid w:val="0"/>
        <w:spacing w:line="360" w:lineRule="exact"/>
        <w:ind w:firstLine="426" w:firstLineChars="191"/>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两违治理中队</w:t>
      </w:r>
      <w:r>
        <w:rPr>
          <w:rFonts w:eastAsia="仿宋"/>
          <w:sz w:val="24"/>
          <w:u w:val="single"/>
        </w:rPr>
        <w:t xml:space="preserve"> </w:t>
      </w:r>
      <w:r>
        <w:rPr>
          <w:rFonts w:hint="eastAsia" w:eastAsia="仿宋"/>
          <w:sz w:val="24"/>
          <w:u w:val="single"/>
        </w:rPr>
        <w:t>吴小龙、王红</w:t>
      </w:r>
      <w:r>
        <w:rPr>
          <w:rFonts w:eastAsia="仿宋"/>
          <w:sz w:val="24"/>
          <w:u w:val="single"/>
        </w:rPr>
        <w:t xml:space="preserve">    </w:t>
      </w:r>
      <w:r>
        <w:rPr>
          <w:rFonts w:eastAsia="仿宋"/>
          <w:sz w:val="24"/>
        </w:rPr>
        <w:t>联系电话：</w:t>
      </w:r>
      <w:r>
        <w:rPr>
          <w:rFonts w:eastAsia="仿宋"/>
          <w:sz w:val="24"/>
          <w:u w:val="single"/>
        </w:rPr>
        <w:t xml:space="preserve">    15577772989                         </w:t>
      </w:r>
    </w:p>
    <w:p w14:paraId="027F754C">
      <w:pPr>
        <w:overflowPunct w:val="0"/>
        <w:adjustRightInd w:val="0"/>
        <w:snapToGrid w:val="0"/>
        <w:spacing w:line="360" w:lineRule="exact"/>
        <w:ind w:firstLine="426" w:firstLineChars="191"/>
        <w:jc w:val="left"/>
        <w:rPr>
          <w:rFonts w:eastAsia="仿宋"/>
          <w:sz w:val="24"/>
        </w:rPr>
      </w:pPr>
      <w:r>
        <w:rPr>
          <w:rFonts w:eastAsia="仿宋"/>
          <w:sz w:val="24"/>
        </w:rPr>
        <w:t>联系地址：</w:t>
      </w:r>
      <w:r>
        <w:rPr>
          <w:rFonts w:eastAsia="仿宋"/>
          <w:sz w:val="24"/>
          <w:u w:val="single"/>
        </w:rPr>
        <w:t xml:space="preserve">    </w:t>
      </w:r>
      <w:r>
        <w:rPr>
          <w:rFonts w:hint="eastAsia" w:eastAsia="仿宋"/>
          <w:sz w:val="24"/>
          <w:u w:val="single"/>
        </w:rPr>
        <w:t>柳石路394号</w:t>
      </w:r>
      <w:r>
        <w:rPr>
          <w:rFonts w:eastAsia="仿宋"/>
          <w:sz w:val="24"/>
          <w:u w:val="single"/>
        </w:rPr>
        <w:t xml:space="preserve">                                                          </w:t>
      </w:r>
    </w:p>
    <w:p w14:paraId="6EC38979">
      <w:pPr>
        <w:spacing w:line="360" w:lineRule="exact"/>
        <w:ind w:firstLine="4997" w:firstLineChars="1900"/>
        <w:jc w:val="left"/>
        <w:rPr>
          <w:rFonts w:eastAsia="仿宋"/>
          <w:sz w:val="28"/>
          <w:szCs w:val="28"/>
        </w:rPr>
      </w:pPr>
    </w:p>
    <w:p w14:paraId="5E7DCEE2">
      <w:pPr>
        <w:spacing w:line="360" w:lineRule="exact"/>
        <w:ind w:firstLine="4997" w:firstLineChars="1900"/>
        <w:jc w:val="left"/>
        <w:rPr>
          <w:rFonts w:eastAsia="仿宋"/>
          <w:sz w:val="28"/>
          <w:szCs w:val="28"/>
        </w:rPr>
      </w:pPr>
      <w:r>
        <w:rPr>
          <w:rFonts w:eastAsia="仿宋"/>
          <w:sz w:val="28"/>
          <w:szCs w:val="28"/>
        </w:rPr>
        <w:t>柳州市鱼峰区综合行政执法局</w:t>
      </w:r>
    </w:p>
    <w:p w14:paraId="1B76A279">
      <w:pPr>
        <w:wordWrap w:val="0"/>
        <w:overflowPunct w:val="0"/>
        <w:snapToGrid w:val="0"/>
        <w:spacing w:after="145" w:line="360" w:lineRule="exact"/>
        <w:ind w:firstLine="605"/>
        <w:jc w:val="right"/>
        <w:outlineLvl w:val="0"/>
        <w:rPr>
          <w:rFonts w:eastAsia="仿宋"/>
          <w:sz w:val="28"/>
          <w:szCs w:val="28"/>
        </w:rPr>
      </w:pPr>
      <w:r>
        <w:rPr>
          <w:rFonts w:hint="eastAsia" w:eastAsia="仿宋"/>
          <w:sz w:val="28"/>
          <w:szCs w:val="28"/>
        </w:rPr>
        <w:t>二0二六年 五月 八日</w:t>
      </w:r>
      <w:r>
        <w:rPr>
          <w:rFonts w:eastAsia="仿宋"/>
          <w:sz w:val="28"/>
          <w:szCs w:val="28"/>
        </w:rPr>
        <w:t xml:space="preserve">            </w:t>
      </w:r>
    </w:p>
    <w:p w14:paraId="3143C4CA">
      <w:pPr>
        <w:spacing w:line="360" w:lineRule="exact"/>
        <w:rPr>
          <w:rFonts w:eastAsia="仿宋"/>
          <w:b/>
          <w:bCs/>
          <w:kern w:val="0"/>
          <w:szCs w:val="21"/>
        </w:rPr>
      </w:pPr>
      <w:r>
        <w:rPr>
          <w:rFonts w:eastAsia="仿宋"/>
          <w:b/>
          <w:bCs/>
          <w:kern w:val="0"/>
          <w:szCs w:val="21"/>
        </w:rPr>
        <w:t>附：《住宅室内装饰装修管理办法》</w:t>
      </w:r>
    </w:p>
    <w:p w14:paraId="0FE14224">
      <w:pPr>
        <w:spacing w:line="360" w:lineRule="exact"/>
        <w:rPr>
          <w:rFonts w:eastAsia="仿宋"/>
          <w:kern w:val="0"/>
          <w:szCs w:val="21"/>
        </w:rPr>
      </w:pPr>
      <w:r>
        <w:rPr>
          <w:rFonts w:eastAsia="仿宋"/>
          <w:b/>
          <w:bCs/>
          <w:kern w:val="0"/>
          <w:szCs w:val="21"/>
        </w:rPr>
        <w:t>第六条</w:t>
      </w:r>
      <w:r>
        <w:rPr>
          <w:rFonts w:eastAsia="仿宋"/>
          <w:kern w:val="0"/>
          <w:szCs w:val="21"/>
        </w:rPr>
        <w:t xml:space="preserve"> 装修人从事住宅室内装饰装修活动，未经批准，不得有下列行为：</w:t>
      </w:r>
      <w:r>
        <w:rPr>
          <w:rFonts w:hint="eastAsia" w:eastAsia="仿宋"/>
          <w:kern w:val="0"/>
          <w:szCs w:val="21"/>
        </w:rPr>
        <w:t>（二）</w:t>
      </w:r>
      <w:r>
        <w:rPr>
          <w:rFonts w:eastAsia="仿宋"/>
          <w:kern w:val="0"/>
          <w:szCs w:val="21"/>
        </w:rPr>
        <w:t>改变住宅外立面，在非承重外墙上开门 、窗；</w:t>
      </w:r>
    </w:p>
    <w:p w14:paraId="4FB320DD">
      <w:pPr>
        <w:spacing w:line="360" w:lineRule="exact"/>
        <w:rPr>
          <w:rFonts w:eastAsia="仿宋"/>
          <w:b/>
          <w:bCs/>
          <w:kern w:val="0"/>
          <w:szCs w:val="21"/>
        </w:rPr>
      </w:pPr>
      <w:r>
        <w:rPr>
          <w:rFonts w:eastAsia="仿宋"/>
          <w:b/>
          <w:bCs/>
          <w:kern w:val="0"/>
          <w:szCs w:val="21"/>
        </w:rPr>
        <w:t xml:space="preserve">第三十九条 </w:t>
      </w:r>
      <w:r>
        <w:rPr>
          <w:rFonts w:eastAsia="仿宋"/>
          <w:kern w:val="0"/>
          <w:szCs w:val="21"/>
        </w:rPr>
        <w:t>未经城市规划行政主管部门批准，在住宅室内装饰装修活动中搭建建筑物、构筑物的，或者擅自改变住宅外立面、在非承重外墙上开门 、窗的，由城市规划行政主管部门按照《中华人民共和国城乡规划法》及相关法规的规定处罚。</w:t>
      </w:r>
    </w:p>
    <w:p w14:paraId="2600AA8F">
      <w:pPr>
        <w:spacing w:line="360" w:lineRule="exact"/>
        <w:ind w:firstLine="386" w:firstLineChars="200"/>
        <w:rPr>
          <w:rFonts w:eastAsia="仿宋"/>
          <w:kern w:val="0"/>
          <w:szCs w:val="21"/>
        </w:rPr>
      </w:pPr>
      <w:r>
        <w:rPr>
          <w:rFonts w:eastAsia="仿宋"/>
          <w:b/>
          <w:bCs/>
          <w:kern w:val="0"/>
          <w:szCs w:val="21"/>
        </w:rPr>
        <w:t>《中华人民共和国城乡规划法》</w:t>
      </w:r>
    </w:p>
    <w:p w14:paraId="029BF57D">
      <w:pPr>
        <w:spacing w:line="360" w:lineRule="exact"/>
        <w:rPr>
          <w:rFonts w:eastAsia="仿宋"/>
          <w:b/>
          <w:kern w:val="0"/>
          <w:szCs w:val="21"/>
        </w:rPr>
      </w:pPr>
      <w:r>
        <w:rPr>
          <w:rFonts w:eastAsia="仿宋"/>
          <w:b/>
          <w:kern w:val="0"/>
          <w:szCs w:val="21"/>
        </w:rPr>
        <w:t>第四十条</w:t>
      </w:r>
      <w:r>
        <w:rPr>
          <w:rFonts w:eastAsia="仿宋"/>
          <w:bCs/>
          <w:kern w:val="0"/>
          <w:szCs w:val="21"/>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4255F1A">
      <w:pPr>
        <w:spacing w:line="360" w:lineRule="exact"/>
        <w:jc w:val="left"/>
        <w:rPr>
          <w:rFonts w:eastAsia="仿宋"/>
          <w:u w:val="single"/>
        </w:rPr>
      </w:pPr>
      <w:r>
        <w:rPr>
          <w:rFonts w:eastAsia="仿宋"/>
          <w:b/>
          <w:kern w:val="0"/>
          <w:szCs w:val="21"/>
        </w:rPr>
        <w:t>第六十四条</w:t>
      </w:r>
      <w:r>
        <w:rPr>
          <w:rFonts w:eastAsia="仿宋"/>
          <w:kern w:val="0"/>
          <w:szCs w:val="21"/>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w:t>
      </w:r>
      <w:r>
        <w:rPr>
          <w:rFonts w:eastAsia="仿宋"/>
          <w:kern w:val="0"/>
          <w:szCs w:val="21"/>
          <w:u w:val="single"/>
        </w:rPr>
        <w:t xml:space="preserve">可以并处建设工程造价百分之十以下的罚款。                                                                                         </w:t>
      </w:r>
    </w:p>
    <w:p w14:paraId="56946C99">
      <w:pPr>
        <w:spacing w:line="360" w:lineRule="exact"/>
        <w:rPr>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r>
        <w:rPr>
          <w:rFonts w:eastAsia="仿宋"/>
          <w:spacing w:val="8"/>
          <w:sz w:val="28"/>
          <w:szCs w:val="28"/>
        </w:rPr>
        <w:t xml:space="preserve">                                           第二联：交当事人（共二联）</w:t>
      </w:r>
      <w:bookmarkStart w:id="0" w:name="_GoBack"/>
      <w:bookmarkEnd w:id="0"/>
    </w:p>
    <w:p w14:paraId="2F12A60B">
      <w:pPr>
        <w:overflowPunct w:val="0"/>
        <w:snapToGrid w:val="0"/>
        <w:spacing w:line="480" w:lineRule="exact"/>
        <w:jc w:val="both"/>
        <w:outlineLvl w:val="0"/>
        <w:rPr>
          <w:b/>
          <w:sz w:val="36"/>
          <w:szCs w:val="36"/>
        </w:rPr>
      </w:pPr>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9331CD00-D5B9-4B7A-A2D7-D0DF7F21845B}"/>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1779722A-B086-4DC2-966A-806A65AE87B7}"/>
  </w:font>
  <w:font w:name="仿宋_GB2312">
    <w:panose1 w:val="02010609030101010101"/>
    <w:charset w:val="86"/>
    <w:family w:val="modern"/>
    <w:pitch w:val="default"/>
    <w:sig w:usb0="00000001" w:usb1="080E0000" w:usb2="00000000" w:usb3="00000000" w:csb0="00040000" w:csb1="00000000"/>
    <w:embedRegular r:id="rId3" w:fontKey="{3D9C40EB-9380-4F86-A6D6-DF862A35BE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A6D6">
    <w:pPr>
      <w:pStyle w:val="7"/>
      <w:framePr w:wrap="around" w:vAnchor="text" w:hAnchor="margin" w:xAlign="center" w:y="1"/>
      <w:rPr>
        <w:rStyle w:val="12"/>
      </w:rPr>
    </w:pPr>
    <w:r>
      <w:fldChar w:fldCharType="begin"/>
    </w:r>
    <w:r>
      <w:rPr>
        <w:rStyle w:val="12"/>
      </w:rPr>
      <w:instrText xml:space="preserve">PAGE  </w:instrText>
    </w:r>
    <w:r>
      <w:fldChar w:fldCharType="end"/>
    </w:r>
  </w:p>
  <w:p w14:paraId="4E251C3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873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16D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1A6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9EB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B696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7181B"/>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7140F"/>
    <w:rsid w:val="00681A4C"/>
    <w:rsid w:val="00683B88"/>
    <w:rsid w:val="00691FA0"/>
    <w:rsid w:val="006966D5"/>
    <w:rsid w:val="006A0460"/>
    <w:rsid w:val="006A079B"/>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504"/>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44B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B83FC7"/>
    <w:rsid w:val="03561F09"/>
    <w:rsid w:val="038C4ADC"/>
    <w:rsid w:val="03C823A6"/>
    <w:rsid w:val="045E7440"/>
    <w:rsid w:val="04894B0C"/>
    <w:rsid w:val="050C64B7"/>
    <w:rsid w:val="064D4D61"/>
    <w:rsid w:val="0776227D"/>
    <w:rsid w:val="07E474B5"/>
    <w:rsid w:val="092527FA"/>
    <w:rsid w:val="09344859"/>
    <w:rsid w:val="09774987"/>
    <w:rsid w:val="09E06ACA"/>
    <w:rsid w:val="0A0D383A"/>
    <w:rsid w:val="0A8A2498"/>
    <w:rsid w:val="0AC57501"/>
    <w:rsid w:val="0C1C0EEF"/>
    <w:rsid w:val="0CD034AF"/>
    <w:rsid w:val="0CD310C6"/>
    <w:rsid w:val="0CF151AC"/>
    <w:rsid w:val="0D916BA2"/>
    <w:rsid w:val="0EC20D63"/>
    <w:rsid w:val="0EE859DF"/>
    <w:rsid w:val="0F0F7410"/>
    <w:rsid w:val="10C85595"/>
    <w:rsid w:val="10E20520"/>
    <w:rsid w:val="1158509E"/>
    <w:rsid w:val="116B706D"/>
    <w:rsid w:val="12EC229C"/>
    <w:rsid w:val="130A4DBF"/>
    <w:rsid w:val="132F2FF1"/>
    <w:rsid w:val="14173967"/>
    <w:rsid w:val="14691E8C"/>
    <w:rsid w:val="15487A1C"/>
    <w:rsid w:val="15F269A5"/>
    <w:rsid w:val="161D7B2E"/>
    <w:rsid w:val="16EE79D6"/>
    <w:rsid w:val="197A58E5"/>
    <w:rsid w:val="1C4274D4"/>
    <w:rsid w:val="1C7A05BE"/>
    <w:rsid w:val="1C8A726D"/>
    <w:rsid w:val="1D742BDC"/>
    <w:rsid w:val="1DD102DC"/>
    <w:rsid w:val="1E994952"/>
    <w:rsid w:val="1ECF44C6"/>
    <w:rsid w:val="1F4275B2"/>
    <w:rsid w:val="206768C6"/>
    <w:rsid w:val="21576BAB"/>
    <w:rsid w:val="2362555B"/>
    <w:rsid w:val="23C11063"/>
    <w:rsid w:val="23DD119A"/>
    <w:rsid w:val="2419445A"/>
    <w:rsid w:val="24343A31"/>
    <w:rsid w:val="24366FA5"/>
    <w:rsid w:val="245C0141"/>
    <w:rsid w:val="24633017"/>
    <w:rsid w:val="251E49D9"/>
    <w:rsid w:val="25B6018D"/>
    <w:rsid w:val="262D71EF"/>
    <w:rsid w:val="26433393"/>
    <w:rsid w:val="267C4631"/>
    <w:rsid w:val="2689743C"/>
    <w:rsid w:val="27367987"/>
    <w:rsid w:val="27C95905"/>
    <w:rsid w:val="280D1C94"/>
    <w:rsid w:val="28E4107C"/>
    <w:rsid w:val="2A0E3239"/>
    <w:rsid w:val="2A320D4A"/>
    <w:rsid w:val="2C33766B"/>
    <w:rsid w:val="2D292B93"/>
    <w:rsid w:val="2D732DB0"/>
    <w:rsid w:val="2E1A0725"/>
    <w:rsid w:val="2E29795D"/>
    <w:rsid w:val="30F416DF"/>
    <w:rsid w:val="31AD1133"/>
    <w:rsid w:val="31ED3189"/>
    <w:rsid w:val="3287438E"/>
    <w:rsid w:val="333F69C7"/>
    <w:rsid w:val="334543BA"/>
    <w:rsid w:val="334A3B6B"/>
    <w:rsid w:val="345D32B6"/>
    <w:rsid w:val="347D07F4"/>
    <w:rsid w:val="34DC2756"/>
    <w:rsid w:val="37745664"/>
    <w:rsid w:val="38C16BE0"/>
    <w:rsid w:val="397A7DBE"/>
    <w:rsid w:val="39DD7007"/>
    <w:rsid w:val="3B3206C5"/>
    <w:rsid w:val="3BB84FFA"/>
    <w:rsid w:val="3C760F6B"/>
    <w:rsid w:val="3D7A731B"/>
    <w:rsid w:val="3EDA0DFA"/>
    <w:rsid w:val="400B38A1"/>
    <w:rsid w:val="40295B1C"/>
    <w:rsid w:val="404E3C1E"/>
    <w:rsid w:val="40580D4D"/>
    <w:rsid w:val="413F6A37"/>
    <w:rsid w:val="41D028DA"/>
    <w:rsid w:val="42020DDA"/>
    <w:rsid w:val="4268621F"/>
    <w:rsid w:val="42C6121D"/>
    <w:rsid w:val="43A11C7C"/>
    <w:rsid w:val="43DF2615"/>
    <w:rsid w:val="44116432"/>
    <w:rsid w:val="44BA15F0"/>
    <w:rsid w:val="45866C1E"/>
    <w:rsid w:val="46110EB4"/>
    <w:rsid w:val="4741374E"/>
    <w:rsid w:val="492434DC"/>
    <w:rsid w:val="4987193F"/>
    <w:rsid w:val="4A150C2A"/>
    <w:rsid w:val="4AFC3310"/>
    <w:rsid w:val="4B7E189F"/>
    <w:rsid w:val="4B7F6352"/>
    <w:rsid w:val="4B842487"/>
    <w:rsid w:val="4C3860B2"/>
    <w:rsid w:val="4CC304CF"/>
    <w:rsid w:val="4D0A42B1"/>
    <w:rsid w:val="4D8C64CD"/>
    <w:rsid w:val="4E6B4968"/>
    <w:rsid w:val="4F65353A"/>
    <w:rsid w:val="50350106"/>
    <w:rsid w:val="511B6DF5"/>
    <w:rsid w:val="52120376"/>
    <w:rsid w:val="532442C0"/>
    <w:rsid w:val="53634614"/>
    <w:rsid w:val="53DD7AB1"/>
    <w:rsid w:val="55414DEF"/>
    <w:rsid w:val="554B76AB"/>
    <w:rsid w:val="560342E4"/>
    <w:rsid w:val="561478DC"/>
    <w:rsid w:val="56443F43"/>
    <w:rsid w:val="580F737C"/>
    <w:rsid w:val="59213594"/>
    <w:rsid w:val="599922D0"/>
    <w:rsid w:val="5A766AF8"/>
    <w:rsid w:val="5A7A0DBE"/>
    <w:rsid w:val="5B0E466F"/>
    <w:rsid w:val="5B7E7C0D"/>
    <w:rsid w:val="5B905DB0"/>
    <w:rsid w:val="5C1D3416"/>
    <w:rsid w:val="5CE20D9E"/>
    <w:rsid w:val="5DC0637E"/>
    <w:rsid w:val="5E58606D"/>
    <w:rsid w:val="5EFD7F12"/>
    <w:rsid w:val="5F4A441A"/>
    <w:rsid w:val="5FF3766A"/>
    <w:rsid w:val="60C928FE"/>
    <w:rsid w:val="61860586"/>
    <w:rsid w:val="61E62F2A"/>
    <w:rsid w:val="63E11D68"/>
    <w:rsid w:val="65384606"/>
    <w:rsid w:val="659558D5"/>
    <w:rsid w:val="662446C4"/>
    <w:rsid w:val="66FD73C6"/>
    <w:rsid w:val="68C600C1"/>
    <w:rsid w:val="6A882047"/>
    <w:rsid w:val="6ADC4CE5"/>
    <w:rsid w:val="6B045E70"/>
    <w:rsid w:val="6CF86536"/>
    <w:rsid w:val="6D672FA1"/>
    <w:rsid w:val="6E295EA5"/>
    <w:rsid w:val="707A489C"/>
    <w:rsid w:val="70B91DB3"/>
    <w:rsid w:val="70C86900"/>
    <w:rsid w:val="70C96F8C"/>
    <w:rsid w:val="70CE6DB3"/>
    <w:rsid w:val="70EB02B8"/>
    <w:rsid w:val="71E71A9A"/>
    <w:rsid w:val="74BC6C49"/>
    <w:rsid w:val="750471E1"/>
    <w:rsid w:val="75260D1D"/>
    <w:rsid w:val="753D0316"/>
    <w:rsid w:val="76D631AB"/>
    <w:rsid w:val="777059BB"/>
    <w:rsid w:val="77D5126A"/>
    <w:rsid w:val="77D77497"/>
    <w:rsid w:val="78235C03"/>
    <w:rsid w:val="78543A3A"/>
    <w:rsid w:val="786022E2"/>
    <w:rsid w:val="793238A9"/>
    <w:rsid w:val="7942661A"/>
    <w:rsid w:val="79C4724A"/>
    <w:rsid w:val="79D84E95"/>
    <w:rsid w:val="79FA1F0E"/>
    <w:rsid w:val="7A2640DC"/>
    <w:rsid w:val="7A9D7461"/>
    <w:rsid w:val="7AB3036A"/>
    <w:rsid w:val="7BF74E3B"/>
    <w:rsid w:val="7C4259C3"/>
    <w:rsid w:val="7C605C0D"/>
    <w:rsid w:val="7C721382"/>
    <w:rsid w:val="7C8F2AFD"/>
    <w:rsid w:val="7C933172"/>
    <w:rsid w:val="7D165E1B"/>
    <w:rsid w:val="7D331B28"/>
    <w:rsid w:val="7DAB6F9D"/>
    <w:rsid w:val="7EB56649"/>
    <w:rsid w:val="7F85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7"/>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2">
    <w:name w:val="page number"/>
    <w:basedOn w:val="11"/>
    <w:qFormat/>
    <w:uiPriority w:val="0"/>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HTML 预设格式 字符"/>
    <w:basedOn w:val="11"/>
    <w:link w:val="9"/>
    <w:qFormat/>
    <w:uiPriority w:val="0"/>
    <w:rPr>
      <w:rFonts w:ascii="黑体" w:hAnsi="Courier New" w:eastAsia="黑体" w:cs="Courier New"/>
      <w:kern w:val="0"/>
      <w:sz w:val="20"/>
      <w:szCs w:val="20"/>
    </w:rPr>
  </w:style>
  <w:style w:type="character" w:customStyle="1" w:styleId="17">
    <w:name w:val="正文文本 字符"/>
    <w:basedOn w:val="11"/>
    <w:link w:val="4"/>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983</Words>
  <Characters>1011</Characters>
  <Lines>9</Lines>
  <Paragraphs>2</Paragraphs>
  <TotalTime>32</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刘莉</cp:lastModifiedBy>
  <cp:lastPrinted>2026-04-13T09:02:00Z</cp:lastPrinted>
  <dcterms:modified xsi:type="dcterms:W3CDTF">2026-05-09T02:00:38Z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9A83082273C643A982F7A20D0B496339_13</vt:lpwstr>
  </property>
  <property fmtid="{D5CDD505-2E9C-101B-9397-08002B2CF9AE}" pid="4" name="KSOTemplateDocerSaveRecord">
    <vt:lpwstr>eyJoZGlkIjoiMjRjMmIwN2JhY2U2OGYwZDk1MzkyNTcwZTk0ZTdlY2IiLCJ1c2VySWQiOiIxNzEyMzM1OTc4In0=</vt:lpwstr>
  </property>
</Properties>
</file>