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73404">
      <w:pPr>
        <w:overflowPunct w:val="0"/>
        <w:snapToGrid w:val="0"/>
        <w:jc w:val="both"/>
        <w:outlineLvl w:val="0"/>
        <w:rPr>
          <w:rFonts w:hint="default" w:ascii="Times New Roman" w:hAnsi="Times New Roman" w:eastAsia="方正小标宋简体" w:cs="Times New Roman"/>
          <w:bCs/>
          <w:color w:val="auto"/>
          <w:sz w:val="36"/>
          <w:szCs w:val="36"/>
        </w:rPr>
      </w:pPr>
    </w:p>
    <w:p w14:paraId="535A63CF">
      <w:pPr>
        <w:overflowPunct w:val="0"/>
        <w:snapToGrid w:val="0"/>
        <w:jc w:val="center"/>
        <w:outlineLvl w:val="0"/>
        <w:rPr>
          <w:rFonts w:hint="eastAsia" w:ascii="Times New Roman" w:hAnsi="Times New Roman" w:eastAsia="方正小标宋简体" w:cs="Times New Roman"/>
          <w:bCs/>
          <w:color w:val="auto"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color w:val="auto"/>
          <w:sz w:val="32"/>
          <w:szCs w:val="32"/>
          <w:lang w:eastAsia="zh-CN"/>
        </w:rPr>
        <w:t>柳州市鱼峰区综合行政执法局</w:t>
      </w:r>
    </w:p>
    <w:p w14:paraId="604B5E98">
      <w:pPr>
        <w:overflowPunct w:val="0"/>
        <w:snapToGrid w:val="0"/>
        <w:jc w:val="center"/>
        <w:outlineLvl w:val="0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撤销行政处罚决定书</w:t>
      </w:r>
    </w:p>
    <w:p w14:paraId="6FD1BFA4">
      <w:pPr>
        <w:overflowPunct w:val="0"/>
        <w:snapToGrid w:val="0"/>
        <w:spacing w:after="145" w:afterLines="50" w:line="560" w:lineRule="exact"/>
        <w:jc w:val="right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柳鱼峰综执撤罚决字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16027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1E19C1C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当事人：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 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林亭利、张锦宙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</w:t>
      </w:r>
    </w:p>
    <w:p w14:paraId="0300309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ind w:right="0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地址：</w:t>
      </w:r>
      <w:r>
        <w:rPr>
          <w:rFonts w:hint="eastAsia" w:eastAsia="仿宋" w:cs="Times New Roman"/>
          <w:color w:val="auto"/>
          <w:sz w:val="28"/>
          <w:szCs w:val="28"/>
          <w:u w:val="single"/>
          <w:lang w:eastAsia="zh-CN"/>
        </w:rPr>
        <w:t>静园路2号金科天宸4栋2单元1-3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                                    </w:t>
      </w:r>
    </w:p>
    <w:p w14:paraId="1E6CAC90">
      <w:pPr>
        <w:pStyle w:val="3"/>
        <w:overflowPunct w:val="0"/>
        <w:snapToGrid w:val="0"/>
        <w:spacing w:line="560" w:lineRule="exact"/>
        <w:ind w:firstLine="560" w:firstLineChars="200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</w:p>
    <w:p w14:paraId="153AF337">
      <w:pPr>
        <w:pStyle w:val="3"/>
        <w:overflowPunct w:val="0"/>
        <w:snapToGrid w:val="0"/>
        <w:spacing w:line="560" w:lineRule="exact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林亭利、张锦宙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：</w:t>
      </w:r>
    </w:p>
    <w:p w14:paraId="0A6AB43B">
      <w:pPr>
        <w:pStyle w:val="3"/>
        <w:overflowPunct w:val="0"/>
        <w:snapToGrid w:val="0"/>
        <w:spacing w:line="560" w:lineRule="exact"/>
        <w:ind w:firstLine="560" w:firstLineChars="200"/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本机关于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none"/>
          <w:lang w:val="en-US" w:eastAsia="zh-CN"/>
        </w:rPr>
        <w:t>3月11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对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bCs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  <w:t>在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静园路2号金科天宸4栋2单元1-3南面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未经许可擅自建设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>建构筑物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的行为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进行立案调查，并于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7月2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  <w:t>日下发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《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责令限期拆除决定书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》（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〔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〕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第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eastAsia="zh-CN"/>
        </w:rPr>
        <w:t>16027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）。现因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　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程序瑕疵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　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  <w:lang w:eastAsia="zh-CN"/>
        </w:rPr>
        <w:t>，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《中华人民共和国行政处罚法》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  <w:lang w:val="en-US" w:eastAsia="zh-CN"/>
        </w:rPr>
        <w:t>第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single"/>
        </w:rPr>
        <w:t>七十五条第二款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的规定，</w:t>
      </w:r>
      <w:r>
        <w:rPr>
          <w:rFonts w:hint="eastAsia" w:ascii="Times New Roman" w:hAnsi="Times New Roman" w:eastAsia="仿宋" w:cs="Times New Roman"/>
          <w:bCs/>
          <w:color w:val="auto"/>
          <w:sz w:val="28"/>
          <w:szCs w:val="28"/>
          <w:lang w:eastAsia="zh-CN"/>
        </w:rPr>
        <w:t>本机关决定撤销该案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。</w:t>
      </w:r>
    </w:p>
    <w:p w14:paraId="51012E6C">
      <w:pPr>
        <w:pStyle w:val="3"/>
        <w:overflowPunct w:val="0"/>
        <w:snapToGrid w:val="0"/>
        <w:spacing w:line="560" w:lineRule="exact"/>
        <w:ind w:firstLine="599" w:firstLineChars="214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</w:p>
    <w:p w14:paraId="13766E0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796DA61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     </w:t>
      </w:r>
    </w:p>
    <w:p w14:paraId="1BF741AA">
      <w:pPr>
        <w:pStyle w:val="3"/>
        <w:overflowPunct w:val="0"/>
        <w:snapToGrid w:val="0"/>
        <w:spacing w:line="560" w:lineRule="exact"/>
        <w:ind w:firstLine="599" w:firstLineChars="214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</w:p>
    <w:p w14:paraId="1091E05F">
      <w:pPr>
        <w:pStyle w:val="3"/>
        <w:overflowPunct w:val="0"/>
        <w:snapToGrid w:val="0"/>
        <w:spacing w:line="560" w:lineRule="exact"/>
        <w:ind w:firstLine="599" w:firstLineChars="214"/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</w:pPr>
    </w:p>
    <w:p w14:paraId="097EAE8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</w:pPr>
    </w:p>
    <w:p w14:paraId="5C8C887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eastAsia="zh-CN"/>
        </w:rPr>
        <w:t>柳州市鱼峰区综合行政执法局</w:t>
      </w:r>
    </w:p>
    <w:p w14:paraId="038A4F90">
      <w:pPr>
        <w:wordWrap w:val="0"/>
        <w:spacing w:line="560" w:lineRule="exact"/>
        <w:jc w:val="right"/>
        <w:rPr>
          <w:rFonts w:hint="default" w:ascii="Times New Roman" w:hAnsi="Times New Roman" w:eastAsia="仿宋" w:cs="Times New Roman"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 xml:space="preserve">                           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一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月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二十九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 xml:space="preserve">  </w:t>
      </w:r>
    </w:p>
    <w:p w14:paraId="1A4E3956">
      <w:pPr>
        <w:overflowPunct w:val="0"/>
        <w:snapToGrid w:val="0"/>
        <w:spacing w:after="145" w:afterLines="50" w:line="560" w:lineRule="exact"/>
        <w:jc w:val="left"/>
        <w:outlineLvl w:val="0"/>
        <w:rPr>
          <w:rFonts w:hint="default" w:ascii="Times New Roman" w:hAnsi="Times New Roman" w:eastAsia="仿宋" w:cs="Times New Roman"/>
          <w:color w:val="auto"/>
          <w:sz w:val="24"/>
        </w:rPr>
      </w:pPr>
    </w:p>
    <w:p w14:paraId="32C36102">
      <w:pPr>
        <w:overflowPunct w:val="0"/>
        <w:snapToGrid w:val="0"/>
        <w:spacing w:after="145" w:afterLines="50" w:line="560" w:lineRule="exact"/>
        <w:jc w:val="left"/>
        <w:outlineLvl w:val="0"/>
        <w:rPr>
          <w:rFonts w:hint="default" w:ascii="Times New Roman" w:hAnsi="Times New Roman" w:eastAsia="仿宋" w:cs="Times New Roman"/>
          <w:b w:val="0"/>
          <w:bCs w:val="0"/>
          <w:color w:val="auto"/>
          <w:sz w:val="24"/>
          <w:u w:val="thick"/>
          <w:lang w:val="en-US" w:eastAsia="zh-CN"/>
        </w:rPr>
      </w:pPr>
      <w:r>
        <w:rPr>
          <w:rFonts w:hint="eastAsia" w:eastAsia="仿宋" w:cs="Times New Roman"/>
          <w:b w:val="0"/>
          <w:bCs w:val="0"/>
          <w:color w:val="auto"/>
          <w:sz w:val="24"/>
          <w:u w:val="thick"/>
          <w:lang w:val="en-US" w:eastAsia="zh-CN"/>
        </w:rPr>
        <w:t xml:space="preserve">                                                                                       </w:t>
      </w:r>
    </w:p>
    <w:p w14:paraId="0B67B4F1">
      <w:pPr>
        <w:jc w:val="right"/>
        <w:rPr>
          <w:rFonts w:hint="eastAsia" w:ascii="Times New Roman" w:hAnsi="Times New Roman" w:eastAsia="宋体" w:cs="Times New Roman"/>
          <w:color w:val="auto"/>
          <w:lang w:eastAsia="zh-CN"/>
        </w:rPr>
      </w:pPr>
      <w:r>
        <w:rPr>
          <w:rFonts w:hint="default" w:ascii="Times New Roman" w:hAnsi="Times New Roman" w:eastAsia="仿宋" w:cs="Times New Roman"/>
          <w:color w:val="auto"/>
          <w:sz w:val="24"/>
        </w:rPr>
        <w:t>第</w:t>
      </w:r>
      <w:r>
        <w:rPr>
          <w:rFonts w:hint="default" w:ascii="Times New Roman" w:hAnsi="Times New Roman" w:eastAsia="仿宋" w:cs="Times New Roman"/>
          <w:color w:val="auto"/>
          <w:sz w:val="24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color w:val="auto"/>
          <w:sz w:val="24"/>
        </w:rPr>
        <w:t>联：</w:t>
      </w:r>
      <w:r>
        <w:rPr>
          <w:rFonts w:hint="default" w:ascii="Times New Roman" w:hAnsi="Times New Roman" w:eastAsia="仿宋" w:cs="Times New Roman"/>
          <w:color w:val="auto"/>
          <w:sz w:val="24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color w:val="auto"/>
          <w:sz w:val="24"/>
        </w:rPr>
        <w:t>（共二联）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23A70CA5-4A50-487D-89E2-14DCE34961E8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9DCE7AE-F674-4E40-9E41-03EF0DC8A8F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F775359-26C0-451A-AFAA-9D266E443EB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ZmVmY2U3ZDUzYjYzZGNkZDFhOThiNDRkM2NjMWMifQ=="/>
  </w:docVars>
  <w:rsids>
    <w:rsidRoot w:val="727C2299"/>
    <w:rsid w:val="0009075B"/>
    <w:rsid w:val="0936797D"/>
    <w:rsid w:val="0C8B4EDF"/>
    <w:rsid w:val="0D152BCA"/>
    <w:rsid w:val="10B4082F"/>
    <w:rsid w:val="1E62073E"/>
    <w:rsid w:val="1F417171"/>
    <w:rsid w:val="205B110A"/>
    <w:rsid w:val="219942D9"/>
    <w:rsid w:val="26F70F71"/>
    <w:rsid w:val="299D54C4"/>
    <w:rsid w:val="2BE55328"/>
    <w:rsid w:val="32C7011E"/>
    <w:rsid w:val="35DC559D"/>
    <w:rsid w:val="39D42649"/>
    <w:rsid w:val="3AF82C2A"/>
    <w:rsid w:val="3BA72226"/>
    <w:rsid w:val="3BAB4EF9"/>
    <w:rsid w:val="41FE5B91"/>
    <w:rsid w:val="46750273"/>
    <w:rsid w:val="49FC0F74"/>
    <w:rsid w:val="51695F30"/>
    <w:rsid w:val="571D7C5B"/>
    <w:rsid w:val="58187A7B"/>
    <w:rsid w:val="5F891E82"/>
    <w:rsid w:val="600C5984"/>
    <w:rsid w:val="61D72463"/>
    <w:rsid w:val="630F74EA"/>
    <w:rsid w:val="63B7063E"/>
    <w:rsid w:val="657D4955"/>
    <w:rsid w:val="65A6554D"/>
    <w:rsid w:val="67462C8B"/>
    <w:rsid w:val="67A06D77"/>
    <w:rsid w:val="6AA03227"/>
    <w:rsid w:val="6B0F2F0A"/>
    <w:rsid w:val="6CA64AAE"/>
    <w:rsid w:val="6E1C492A"/>
    <w:rsid w:val="6E4D6B2C"/>
    <w:rsid w:val="71202F6F"/>
    <w:rsid w:val="71B356D4"/>
    <w:rsid w:val="723E5DD6"/>
    <w:rsid w:val="727C2299"/>
    <w:rsid w:val="7BC036E2"/>
    <w:rsid w:val="7CE23687"/>
    <w:rsid w:val="7DEA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321</Characters>
  <Lines>0</Lines>
  <Paragraphs>0</Paragraphs>
  <TotalTime>47</TotalTime>
  <ScaleCrop>false</ScaleCrop>
  <LinksUpToDate>false</LinksUpToDate>
  <CharactersWithSpaces>571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2022-06-14T03:27:00Z</dcterms:created>
  <dc:creator>良</dc:creator>
  <cp:lastModifiedBy>刘莉</cp:lastModifiedBy>
  <cp:lastPrinted>2025-11-20T01:53:00Z</cp:lastPrinted>
  <dcterms:modified xsi:type="dcterms:W3CDTF">2026-01-30T09:39:54Z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5457BD9C741F4CA9B540221ED02B2F0E_13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