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A4A8A">
      <w:pPr>
        <w:widowControl/>
        <w:jc w:val="center"/>
        <w:rPr>
          <w:rFonts w:hint="eastAsia" w:ascii="方正小标宋简体" w:hAnsi="方正小标宋简体" w:eastAsia="方正小标宋简体" w:cs="方正小标宋简体"/>
          <w:bCs/>
          <w:color w:val="0000FF"/>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7B8D2637">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26D7E9E6">
      <w:pPr>
        <w:spacing w:line="560" w:lineRule="exact"/>
        <w:jc w:val="center"/>
        <w:rPr>
          <w:rFonts w:ascii="仿宋_GB2312" w:eastAsia="仿宋_GB2312"/>
          <w:sz w:val="28"/>
          <w:u w:val="single"/>
        </w:rPr>
      </w:pPr>
      <w:r>
        <w:rPr>
          <w:rFonts w:hint="eastAsia" w:ascii="仿宋_GB2312" w:eastAsia="仿宋_GB2312"/>
          <w:sz w:val="28"/>
        </w:rPr>
        <w:t xml:space="preserve">                               </w:t>
      </w:r>
      <w:r>
        <w:rPr>
          <w:rFonts w:hint="eastAsia" w:ascii="仿宋_GB2312" w:eastAsia="仿宋_GB2312"/>
          <w:sz w:val="28"/>
          <w:lang w:eastAsia="zh-CN"/>
        </w:rPr>
        <w:t>柳鱼峰综执</w:t>
      </w:r>
      <w:r>
        <w:rPr>
          <w:rFonts w:hint="eastAsia" w:ascii="仿宋_GB2312" w:eastAsia="仿宋_GB2312"/>
          <w:sz w:val="28"/>
        </w:rPr>
        <w:t>责拆告字</w:t>
      </w:r>
      <w:r>
        <w:rPr>
          <w:rFonts w:hint="eastAsia" w:ascii="仿宋_GB2312" w:eastAsia="仿宋_GB2312"/>
          <w:sz w:val="28"/>
          <w:lang w:eastAsia="zh-CN"/>
        </w:rPr>
        <w:t>〔2025〕第26110号</w:t>
      </w:r>
      <w:r>
        <w:rPr>
          <w:rFonts w:hint="eastAsia" w:ascii="仿宋_GB2312" w:eastAsia="仿宋_GB2312"/>
          <w:sz w:val="28"/>
        </w:rPr>
        <w:t xml:space="preserve"> </w:t>
      </w:r>
    </w:p>
    <w:p w14:paraId="646E9B47">
      <w:pPr>
        <w:spacing w:line="400" w:lineRule="exact"/>
        <w:rPr>
          <w:rFonts w:ascii="仿宋_GB2312" w:hAnsi="仿宋" w:eastAsia="仿宋_GB2312" w:cs="仿宋"/>
          <w:sz w:val="28"/>
          <w:szCs w:val="28"/>
        </w:rPr>
      </w:pPr>
      <w:r>
        <w:rPr>
          <w:rFonts w:hint="eastAsia" w:eastAsia="仿宋_GB2312"/>
          <w:bCs/>
          <w:sz w:val="28"/>
          <w:szCs w:val="28"/>
          <w:u w:val="single"/>
          <w:lang w:eastAsia="zh-CN"/>
        </w:rPr>
        <w:t>吴丽英</w:t>
      </w:r>
      <w:r>
        <w:rPr>
          <w:rFonts w:hint="eastAsia" w:ascii="仿宋_GB2312" w:hAnsi="仿宋" w:eastAsia="仿宋_GB2312" w:cs="仿宋"/>
          <w:sz w:val="28"/>
          <w:szCs w:val="28"/>
        </w:rPr>
        <w:t>：</w:t>
      </w:r>
    </w:p>
    <w:p w14:paraId="5E31461E">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w:t>
      </w:r>
      <w:r>
        <w:rPr>
          <w:rFonts w:hint="eastAsia" w:ascii="仿宋_GB2312" w:hAnsi="仿宋" w:eastAsia="仿宋_GB2312" w:cs="仿宋"/>
          <w:sz w:val="28"/>
          <w:szCs w:val="28"/>
          <w:u w:val="single"/>
        </w:rPr>
        <w:t>《中华人民共和国行政处罚法》第五十四条</w:t>
      </w:r>
      <w:r>
        <w:rPr>
          <w:rFonts w:hint="eastAsia" w:ascii="仿宋_GB2312" w:hAnsi="仿宋" w:eastAsia="仿宋_GB2312" w:cs="仿宋"/>
          <w:sz w:val="28"/>
          <w:szCs w:val="28"/>
        </w:rPr>
        <w:t>的规定，本机关于</w:t>
      </w:r>
      <w:r>
        <w:rPr>
          <w:rFonts w:hint="eastAsia" w:ascii="仿宋_GB2312" w:hAnsi="仿宋" w:eastAsia="仿宋_GB2312" w:cs="仿宋"/>
          <w:sz w:val="28"/>
          <w:szCs w:val="28"/>
          <w:u w:val="single"/>
          <w:lang w:eastAsia="zh-CN"/>
        </w:rPr>
        <w:t>2025年12月16日</w:t>
      </w:r>
      <w:r>
        <w:rPr>
          <w:rFonts w:hint="eastAsia" w:ascii="仿宋_GB2312" w:hAnsi="仿宋" w:eastAsia="仿宋_GB2312" w:cs="仿宋"/>
          <w:sz w:val="28"/>
          <w:szCs w:val="28"/>
        </w:rPr>
        <w:t>对</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涉嫌</w:t>
      </w:r>
      <w:r>
        <w:rPr>
          <w:rFonts w:hint="eastAsia" w:ascii="仿宋_GB2312" w:hAnsi="仿宋" w:eastAsia="仿宋_GB2312" w:cs="仿宋"/>
          <w:sz w:val="28"/>
          <w:szCs w:val="28"/>
          <w:u w:val="single"/>
          <w:lang w:eastAsia="zh-CN"/>
        </w:rPr>
        <w:t>未经许可擅自建设房屋</w:t>
      </w:r>
      <w:r>
        <w:rPr>
          <w:rFonts w:hint="eastAsia" w:ascii="仿宋_GB2312" w:hAnsi="仿宋" w:eastAsia="仿宋_GB2312" w:cs="仿宋"/>
          <w:sz w:val="28"/>
          <w:szCs w:val="28"/>
          <w:u w:val="none"/>
          <w:lang w:eastAsia="zh-CN"/>
        </w:rPr>
        <w:t>的</w:t>
      </w:r>
      <w:r>
        <w:rPr>
          <w:rFonts w:hint="eastAsia" w:ascii="仿宋_GB2312" w:hAnsi="仿宋" w:eastAsia="仿宋_GB2312" w:cs="仿宋"/>
          <w:sz w:val="28"/>
          <w:szCs w:val="28"/>
          <w:u w:val="none"/>
          <w:lang w:val="en-US" w:eastAsia="zh-CN"/>
        </w:rPr>
        <w:t>行为</w:t>
      </w:r>
      <w:r>
        <w:rPr>
          <w:rFonts w:hint="eastAsia" w:ascii="仿宋_GB2312" w:hAnsi="仿宋" w:eastAsia="仿宋_GB2312" w:cs="仿宋"/>
          <w:sz w:val="28"/>
          <w:szCs w:val="28"/>
        </w:rPr>
        <w:t>予以立案调查。</w:t>
      </w:r>
    </w:p>
    <w:p w14:paraId="1953B3CA">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现查明，</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未经许可擅自</w:t>
      </w:r>
      <w:r>
        <w:rPr>
          <w:rFonts w:hint="eastAsia" w:ascii="仿宋_GB2312" w:eastAsia="仿宋_GB2312"/>
          <w:sz w:val="28"/>
          <w:lang w:eastAsia="zh-CN"/>
        </w:rPr>
        <w:t>在</w:t>
      </w:r>
      <w:r>
        <w:rPr>
          <w:rFonts w:hint="eastAsia" w:ascii="仿宋_GB2312" w:eastAsia="仿宋_GB2312"/>
          <w:sz w:val="28"/>
          <w:u w:val="single"/>
          <w:lang w:eastAsia="zh-CN"/>
        </w:rPr>
        <w:t>柳石路80号2栋2单元8-1楼顶建设一层钢架结构房屋一处</w:t>
      </w:r>
      <w:r>
        <w:rPr>
          <w:rFonts w:hint="eastAsia" w:ascii="仿宋_GB2312" w:eastAsia="仿宋_GB2312"/>
          <w:sz w:val="28"/>
          <w:u w:val="single"/>
        </w:rPr>
        <w:t>（</w:t>
      </w:r>
      <w:r>
        <w:rPr>
          <w:rFonts w:hint="eastAsia" w:ascii="仿宋_GB2312" w:eastAsia="仿宋_GB2312"/>
          <w:sz w:val="28"/>
          <w:u w:val="single"/>
          <w:lang w:eastAsia="zh-CN"/>
        </w:rPr>
        <w:t>面积合计为62.37平方米</w:t>
      </w:r>
      <w:r>
        <w:rPr>
          <w:rFonts w:hint="eastAsia" w:ascii="仿宋_GB2312" w:eastAsia="仿宋_GB2312"/>
          <w:sz w:val="28"/>
          <w:u w:val="single"/>
        </w:rPr>
        <w:t>）。</w:t>
      </w:r>
      <w:r>
        <w:rPr>
          <w:rFonts w:hint="eastAsia" w:ascii="仿宋_GB2312" w:hAnsi="仿宋" w:eastAsia="仿宋_GB2312" w:cs="仿宋"/>
          <w:sz w:val="28"/>
          <w:szCs w:val="28"/>
        </w:rPr>
        <w:t>本机关认为，</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的上述行为违反了</w:t>
      </w:r>
      <w:r>
        <w:rPr>
          <w:rFonts w:hint="eastAsia" w:ascii="仿宋_GB2312" w:hAnsi="仿宋" w:eastAsia="仿宋_GB2312" w:cs="仿宋"/>
          <w:sz w:val="28"/>
          <w:szCs w:val="28"/>
          <w:u w:val="single"/>
        </w:rPr>
        <w:t>《中华人民共和国城乡规划法》第四十条第一款</w:t>
      </w:r>
      <w:r>
        <w:rPr>
          <w:rFonts w:hint="eastAsia" w:ascii="仿宋_GB2312" w:hAnsi="仿宋" w:eastAsia="仿宋_GB2312" w:cs="仿宋"/>
          <w:sz w:val="28"/>
          <w:szCs w:val="28"/>
        </w:rPr>
        <w:t>的规定，</w:t>
      </w:r>
      <w:r>
        <w:rPr>
          <w:rFonts w:hint="eastAsia" w:ascii="仿宋_GB2312" w:eastAsia="仿宋_GB2312"/>
          <w:sz w:val="28"/>
        </w:rPr>
        <w:t>依据</w:t>
      </w:r>
      <w:r>
        <w:rPr>
          <w:rFonts w:hint="eastAsia" w:ascii="仿宋_GB2312" w:eastAsia="仿宋_GB2312"/>
          <w:sz w:val="28"/>
          <w:u w:val="single"/>
        </w:rPr>
        <w:t>《中华人民共和国城乡规划法》第六十四条</w:t>
      </w:r>
      <w:r>
        <w:rPr>
          <w:rFonts w:hint="eastAsia" w:ascii="仿宋_GB2312" w:eastAsia="仿宋_GB2312"/>
          <w:sz w:val="28"/>
        </w:rPr>
        <w:t>的规定，</w:t>
      </w:r>
      <w:r>
        <w:rPr>
          <w:rFonts w:hint="eastAsia" w:ascii="仿宋_GB2312" w:hAnsi="仿宋" w:eastAsia="仿宋_GB2312" w:cs="仿宋"/>
          <w:sz w:val="28"/>
          <w:szCs w:val="28"/>
        </w:rPr>
        <w:t>拟对</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作出如下决定：</w:t>
      </w:r>
    </w:p>
    <w:p w14:paraId="01CB9A19">
      <w:pPr>
        <w:spacing w:line="400" w:lineRule="exact"/>
        <w:jc w:val="left"/>
        <w:rPr>
          <w:rFonts w:ascii="仿宋_GB2312" w:hAnsi="仿宋" w:eastAsia="仿宋_GB2312" w:cs="仿宋"/>
          <w:sz w:val="28"/>
          <w:szCs w:val="28"/>
          <w:u w:val="single"/>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u w:val="single"/>
        </w:rPr>
        <w:t>责令限期自行拆除上述违法建筑。</w:t>
      </w:r>
    </w:p>
    <w:p w14:paraId="72E5F07F">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根据《中华人民共和国行政处罚法》第四十四条、四十五条的规定，</w:t>
      </w:r>
      <w:r>
        <w:rPr>
          <w:rFonts w:hint="eastAsia" w:ascii="仿宋_GB2312" w:hAnsi="仿宋" w:eastAsia="仿宋_GB2312" w:cs="仿宋"/>
          <w:sz w:val="28"/>
          <w:szCs w:val="28"/>
          <w:lang w:eastAsia="zh-CN"/>
        </w:rPr>
        <w:t>你</w:t>
      </w:r>
      <w:r>
        <w:rPr>
          <w:rFonts w:hint="eastAsia" w:ascii="仿宋_GB2312" w:hAnsi="仿宋" w:eastAsia="仿宋_GB2312" w:cs="仿宋"/>
          <w:sz w:val="28"/>
          <w:szCs w:val="28"/>
        </w:rPr>
        <w:t>对本机关上述认定的违法事实、处罚依据及处罚内容等有异议的，可在收到本告知书之日起5个工作日内向本机关提出书面陈述、申辩意见，或到本机关进行口头陈述、申辩。逾期不提供书面陈述、申辩意见，本机关将依法作出处理决定。</w:t>
      </w:r>
    </w:p>
    <w:p w14:paraId="476BDE16">
      <w:pPr>
        <w:overflowPunct w:val="0"/>
        <w:adjustRightInd w:val="0"/>
        <w:snapToGrid w:val="0"/>
        <w:spacing w:line="400" w:lineRule="exact"/>
        <w:ind w:firstLine="534" w:firstLineChars="191"/>
        <w:jc w:val="left"/>
        <w:rPr>
          <w:rFonts w:hint="eastAsia" w:ascii="仿宋_GB2312" w:eastAsia="仿宋_GB2312"/>
          <w:sz w:val="28"/>
          <w:szCs w:val="28"/>
        </w:rPr>
      </w:pPr>
    </w:p>
    <w:p w14:paraId="5080E96C">
      <w:pPr>
        <w:overflowPunct w:val="0"/>
        <w:adjustRightInd w:val="0"/>
        <w:snapToGrid w:val="0"/>
        <w:spacing w:line="400" w:lineRule="exact"/>
        <w:ind w:firstLine="534" w:firstLineChars="191"/>
        <w:jc w:val="left"/>
        <w:rPr>
          <w:rFonts w:ascii="仿宋_GB2312" w:eastAsia="仿宋_GB2312"/>
          <w:sz w:val="28"/>
          <w:szCs w:val="28"/>
        </w:rPr>
      </w:pPr>
      <w:r>
        <w:rPr>
          <w:rFonts w:hint="eastAsia" w:ascii="仿宋_GB2312" w:eastAsia="仿宋_GB2312"/>
          <w:sz w:val="28"/>
          <w:szCs w:val="28"/>
        </w:rPr>
        <w:t>联 系 人：</w:t>
      </w:r>
      <w:r>
        <w:rPr>
          <w:rFonts w:hint="eastAsia" w:ascii="仿宋_GB2312" w:eastAsia="仿宋_GB2312"/>
          <w:color w:val="060606"/>
          <w:sz w:val="28"/>
          <w:szCs w:val="28"/>
          <w:u w:val="single"/>
          <w:lang w:val="en-US" w:eastAsia="zh-CN"/>
        </w:rPr>
        <w:t>两违</w:t>
      </w:r>
      <w:r>
        <w:rPr>
          <w:rFonts w:hint="eastAsia" w:ascii="仿宋_GB2312" w:eastAsia="仿宋_GB2312"/>
          <w:color w:val="060606"/>
          <w:sz w:val="28"/>
          <w:szCs w:val="28"/>
          <w:u w:val="single"/>
          <w:lang w:eastAsia="zh-CN"/>
        </w:rPr>
        <w:t>中队 郑美欣、陆庆恒</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hint="eastAsia" w:ascii="仿宋_GB2312" w:eastAsia="仿宋_GB2312"/>
          <w:color w:val="060606"/>
          <w:sz w:val="28"/>
          <w:szCs w:val="28"/>
          <w:u w:val="single"/>
          <w:lang w:val="en-US" w:eastAsia="zh-CN"/>
        </w:rPr>
        <w:t>15577775801</w:t>
      </w:r>
      <w:r>
        <w:rPr>
          <w:rFonts w:hint="eastAsia" w:ascii="仿宋_GB2312" w:eastAsia="仿宋_GB2312"/>
          <w:color w:val="060606"/>
          <w:sz w:val="28"/>
          <w:szCs w:val="28"/>
          <w:u w:val="single"/>
        </w:rPr>
        <w:t xml:space="preserve"> </w:t>
      </w:r>
    </w:p>
    <w:p w14:paraId="7690377E">
      <w:pPr>
        <w:overflowPunct w:val="0"/>
        <w:adjustRightInd w:val="0"/>
        <w:snapToGrid w:val="0"/>
        <w:spacing w:line="400" w:lineRule="exact"/>
        <w:ind w:firstLine="534" w:firstLineChars="191"/>
        <w:jc w:val="left"/>
        <w:rPr>
          <w:rFonts w:eastAsia="仿宋_GB2312"/>
          <w:sz w:val="28"/>
          <w:szCs w:val="28"/>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u w:val="single"/>
          <w:lang w:eastAsia="zh-CN"/>
        </w:rPr>
        <w:t>柳石路394号（五里华庭小区旁）</w:t>
      </w:r>
      <w:r>
        <w:rPr>
          <w:rFonts w:hint="eastAsia" w:ascii="仿宋_GB2312" w:eastAsia="仿宋_GB2312"/>
          <w:color w:val="060606"/>
          <w:sz w:val="28"/>
          <w:szCs w:val="28"/>
          <w:u w:val="single"/>
        </w:rPr>
        <w:t xml:space="preserve"> </w:t>
      </w:r>
    </w:p>
    <w:p w14:paraId="1D4DABCD">
      <w:pPr>
        <w:overflowPunct w:val="0"/>
        <w:snapToGrid w:val="0"/>
        <w:spacing w:line="480" w:lineRule="exact"/>
        <w:jc w:val="left"/>
        <w:rPr>
          <w:rFonts w:eastAsia="仿宋_GB2312"/>
          <w:color w:val="0000FF"/>
          <w:sz w:val="28"/>
          <w:szCs w:val="28"/>
        </w:rPr>
      </w:pPr>
    </w:p>
    <w:p w14:paraId="1FC5B44C">
      <w:pPr>
        <w:spacing w:line="480" w:lineRule="exact"/>
        <w:ind w:firstLine="5320" w:firstLineChars="19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柳州市鱼峰区综合行政执法局</w:t>
      </w:r>
    </w:p>
    <w:p w14:paraId="32F69D3E">
      <w:pPr>
        <w:overflowPunct w:val="0"/>
        <w:snapToGrid w:val="0"/>
        <w:spacing w:after="145" w:line="480" w:lineRule="exact"/>
        <w:ind w:firstLine="605"/>
        <w:jc w:val="left"/>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二0二六</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十四</w:t>
      </w:r>
      <w:r>
        <w:rPr>
          <w:rFonts w:hint="eastAsia" w:ascii="仿宋_GB2312" w:hAnsi="仿宋_GB2312" w:eastAsia="仿宋_GB2312" w:cs="仿宋_GB2312"/>
          <w:sz w:val="28"/>
          <w:szCs w:val="28"/>
        </w:rPr>
        <w:t>日</w:t>
      </w:r>
    </w:p>
    <w:p w14:paraId="1F46C32C">
      <w:pPr>
        <w:pStyle w:val="4"/>
        <w:rPr>
          <w:sz w:val="28"/>
          <w:szCs w:val="28"/>
        </w:rPr>
      </w:pPr>
    </w:p>
    <w:p w14:paraId="3687917B">
      <w:pPr>
        <w:overflowPunct w:val="0"/>
        <w:snapToGrid w:val="0"/>
        <w:spacing w:line="320" w:lineRule="exact"/>
        <w:ind w:firstLine="560" w:firstLineChars="200"/>
        <w:jc w:val="left"/>
        <w:rPr>
          <w:rFonts w:eastAsia="仿宋_GB2312"/>
          <w:color w:val="0000FF"/>
          <w:sz w:val="28"/>
          <w:szCs w:val="28"/>
        </w:rPr>
      </w:pPr>
      <w:r>
        <w:rPr>
          <w:rFonts w:hint="eastAsia" w:eastAsia="仿宋_GB2312"/>
          <w:sz w:val="28"/>
          <w:szCs w:val="28"/>
        </w:rPr>
        <w:t>附：《中华人民共和国城乡规划法》</w:t>
      </w:r>
    </w:p>
    <w:p w14:paraId="5F78623D">
      <w:pPr>
        <w:spacing w:line="320" w:lineRule="exact"/>
        <w:ind w:firstLine="482" w:firstLineChars="200"/>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3EE6D955">
      <w:pPr>
        <w:overflowPunct w:val="0"/>
        <w:snapToGrid w:val="0"/>
        <w:spacing w:line="320" w:lineRule="exact"/>
        <w:ind w:firstLine="482" w:firstLineChars="200"/>
        <w:jc w:val="left"/>
        <w:rPr>
          <w:rFonts w:eastAsia="仿宋_GB2312"/>
          <w:color w:val="0000FF"/>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51741D8C">
      <w:pPr>
        <w:spacing w:line="200" w:lineRule="exact"/>
        <w:jc w:val="left"/>
        <w:rPr>
          <w:rFonts w:eastAsia="仿宋_GB2312"/>
          <w:sz w:val="28"/>
          <w:szCs w:val="28"/>
        </w:rPr>
      </w:pPr>
    </w:p>
    <w:p w14:paraId="100388B5">
      <w:pPr>
        <w:spacing w:line="200" w:lineRule="exact"/>
        <w:jc w:val="left"/>
        <w:rPr>
          <w:rFonts w:eastAsia="仿宋_GB2312"/>
          <w:sz w:val="28"/>
          <w:szCs w:val="28"/>
        </w:rPr>
      </w:pPr>
    </w:p>
    <w:p w14:paraId="2EE23637">
      <w:pPr>
        <w:spacing w:line="200" w:lineRule="exact"/>
        <w:jc w:val="left"/>
        <w:rPr>
          <w:rFonts w:ascii="宋体" w:hAnsi="宋体"/>
          <w:spacing w:val="2"/>
          <w:sz w:val="28"/>
          <w:szCs w:val="28"/>
        </w:rPr>
      </w:pPr>
      <w:r>
        <w:rPr>
          <w:rFonts w:eastAsia="仿宋_GB2312"/>
          <w:sz w:val="28"/>
          <w:szCs w:val="28"/>
        </w:rPr>
        <w:t xml:space="preserve"> </w:t>
      </w:r>
      <w:r>
        <w:rPr>
          <w:rFonts w:hint="eastAsia" w:ascii="宋体" w:hAnsi="宋体"/>
          <w:spacing w:val="2"/>
          <w:sz w:val="28"/>
          <w:szCs w:val="28"/>
          <w:u w:val="thick"/>
        </w:rPr>
        <w:t xml:space="preserve">                                                                              </w:t>
      </w:r>
    </w:p>
    <w:p w14:paraId="4C773C68">
      <w:pPr>
        <w:overflowPunct w:val="0"/>
        <w:snapToGrid w:val="0"/>
        <w:spacing w:after="312" w:afterLines="100" w:line="520" w:lineRule="exact"/>
        <w:jc w:val="right"/>
        <w:rPr>
          <w:rFonts w:ascii="方正小标宋简体" w:hAnsi="方正小标宋简体" w:eastAsia="方正小标宋简体" w:cs="方正小标宋简体"/>
          <w:sz w:val="44"/>
          <w:szCs w:val="44"/>
        </w:rPr>
      </w:pPr>
      <w:r>
        <w:rPr>
          <w:rFonts w:hint="eastAsia" w:ascii="宋体" w:hAnsi="宋体"/>
          <w:spacing w:val="2"/>
          <w:sz w:val="28"/>
          <w:szCs w:val="28"/>
        </w:rPr>
        <w:t>第</w:t>
      </w:r>
      <w:r>
        <w:rPr>
          <w:rFonts w:hint="eastAsia" w:ascii="宋体" w:hAnsi="宋体"/>
          <w:spacing w:val="2"/>
          <w:sz w:val="28"/>
          <w:szCs w:val="28"/>
          <w:lang w:val="en-US" w:eastAsia="zh-CN"/>
        </w:rPr>
        <w:t>二</w:t>
      </w:r>
      <w:r>
        <w:rPr>
          <w:rFonts w:hint="eastAsia" w:ascii="宋体" w:hAnsi="宋体"/>
          <w:spacing w:val="2"/>
          <w:sz w:val="28"/>
          <w:szCs w:val="28"/>
        </w:rPr>
        <w:t>联：</w:t>
      </w:r>
      <w:r>
        <w:rPr>
          <w:rFonts w:hint="eastAsia" w:ascii="宋体" w:hAnsi="宋体"/>
          <w:spacing w:val="2"/>
          <w:sz w:val="28"/>
          <w:szCs w:val="28"/>
          <w:lang w:val="en-US" w:eastAsia="zh-CN"/>
        </w:rPr>
        <w:t>交当事人</w:t>
      </w:r>
      <w:r>
        <w:rPr>
          <w:rFonts w:hint="eastAsia" w:ascii="宋体" w:hAnsi="宋体"/>
          <w:spacing w:val="2"/>
          <w:sz w:val="28"/>
          <w:szCs w:val="28"/>
        </w:rPr>
        <w:t>（共二联）</w:t>
      </w:r>
    </w:p>
    <w:p w14:paraId="1F2BD542">
      <w:pPr>
        <w:rPr>
          <w:rFonts w:hint="eastAsia"/>
          <w:lang w:eastAsia="zh-CN"/>
        </w:rPr>
      </w:pPr>
      <w:bookmarkStart w:id="0" w:name="_GoBack"/>
      <w:bookmarkEnd w:id="0"/>
    </w:p>
    <w:sectPr>
      <w:pgSz w:w="11906" w:h="16838"/>
      <w:pgMar w:top="400" w:right="1066" w:bottom="8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09D686E"/>
    <w:rsid w:val="00E4244A"/>
    <w:rsid w:val="05723D5E"/>
    <w:rsid w:val="05A8133B"/>
    <w:rsid w:val="0E65475F"/>
    <w:rsid w:val="15B371AA"/>
    <w:rsid w:val="193404D2"/>
    <w:rsid w:val="1D605BC2"/>
    <w:rsid w:val="219B71B0"/>
    <w:rsid w:val="22442FC2"/>
    <w:rsid w:val="2817622A"/>
    <w:rsid w:val="2A0E468C"/>
    <w:rsid w:val="2AA45E84"/>
    <w:rsid w:val="35C600E4"/>
    <w:rsid w:val="3DB47ECB"/>
    <w:rsid w:val="3DC0045B"/>
    <w:rsid w:val="4F0679B3"/>
    <w:rsid w:val="4F5E0042"/>
    <w:rsid w:val="510319F7"/>
    <w:rsid w:val="53083888"/>
    <w:rsid w:val="57126742"/>
    <w:rsid w:val="5E546993"/>
    <w:rsid w:val="61EF0A70"/>
    <w:rsid w:val="6344466B"/>
    <w:rsid w:val="664B24B5"/>
    <w:rsid w:val="6E401570"/>
    <w:rsid w:val="6FD47408"/>
    <w:rsid w:val="741273CE"/>
    <w:rsid w:val="7A587B47"/>
    <w:rsid w:val="7AC4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2"/>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738</Words>
  <Characters>769</Characters>
  <Lines>0</Lines>
  <Paragraphs>0</Paragraphs>
  <TotalTime>3</TotalTime>
  <ScaleCrop>false</ScaleCrop>
  <LinksUpToDate>false</LinksUpToDate>
  <CharactersWithSpaces>937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芝蔴阿門</cp:lastModifiedBy>
  <dcterms:modified xsi:type="dcterms:W3CDTF">2026-01-14T07:10:28Z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8C146C5262B043F5AC4CAA3D9B40AF63_13</vt:lpwstr>
  </property>
  <property fmtid="{D5CDD505-2E9C-101B-9397-08002B2CF9AE}" pid="4" name="KSOTemplateDocerSaveRecord">
    <vt:lpwstr>eyJoZGlkIjoiMjRjMmIwN2JhY2U2OGYwZDk1MzkyNTcwZTk0ZTdlY2IiLCJ1c2VySWQiOiIyOTI2NjkwNzAifQ==</vt:lpwstr>
  </property>
</Properties>
</file>