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6CA98">
      <w:pPr>
        <w:spacing w:line="510" w:lineRule="exact"/>
        <w:jc w:val="center"/>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rPr>
        <w:t>柳州市</w:t>
      </w:r>
      <w:r>
        <w:rPr>
          <w:rFonts w:hint="eastAsia" w:ascii="方正小标宋简体" w:hAnsi="方正小标宋简体" w:eastAsia="方正小标宋简体" w:cs="方正小标宋简体"/>
          <w:b w:val="0"/>
          <w:bCs/>
          <w:color w:val="auto"/>
          <w:sz w:val="32"/>
          <w:szCs w:val="32"/>
          <w:lang w:eastAsia="zh-CN"/>
        </w:rPr>
        <w:t>鱼峰区综合行政执法局</w:t>
      </w:r>
    </w:p>
    <w:p w14:paraId="70C120C7">
      <w:pPr>
        <w:spacing w:line="510" w:lineRule="exact"/>
        <w:jc w:val="center"/>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5BAB9CCF">
      <w:pPr>
        <w:spacing w:line="560" w:lineRule="exact"/>
        <w:ind w:left="538" w:leftChars="279" w:firstLine="474" w:firstLineChars="0"/>
        <w:jc w:val="right"/>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柳鱼峰综执责拆告字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2025</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16094</w:t>
      </w:r>
      <w:r>
        <w:rPr>
          <w:rFonts w:hint="default" w:ascii="Times New Roman" w:hAnsi="Times New Roman" w:eastAsia="仿宋" w:cs="Times New Roman"/>
          <w:color w:val="auto"/>
          <w:sz w:val="28"/>
        </w:rPr>
        <w:t xml:space="preserve">号 </w:t>
      </w:r>
    </w:p>
    <w:p w14:paraId="198DEA4A">
      <w:pPr>
        <w:keepNext w:val="0"/>
        <w:keepLines w:val="0"/>
        <w:pageBreakBefore w:val="0"/>
        <w:widowControl w:val="0"/>
        <w:kinsoku/>
        <w:wordWrap/>
        <w:topLinePunct w:val="0"/>
        <w:autoSpaceDE/>
        <w:autoSpaceDN/>
        <w:bidi w:val="0"/>
        <w:spacing w:line="440" w:lineRule="exact"/>
        <w:ind w:right="0" w:firstLine="526" w:firstLineChars="20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b w:val="0"/>
          <w:bCs w:val="0"/>
          <w:sz w:val="28"/>
          <w:szCs w:val="28"/>
          <w:u w:val="single"/>
          <w:lang w:val="en-US" w:eastAsia="zh-CN"/>
        </w:rPr>
        <w:t xml:space="preserve">   </w:t>
      </w:r>
      <w:r>
        <w:rPr>
          <w:rFonts w:hint="eastAsia" w:eastAsia="仿宋" w:cs="Times New Roman"/>
          <w:b w:val="0"/>
          <w:bCs w:val="0"/>
          <w:sz w:val="28"/>
          <w:szCs w:val="28"/>
          <w:u w:val="single"/>
          <w:lang w:eastAsia="zh-CN"/>
        </w:rPr>
        <w:t>徐菁雯</w:t>
      </w:r>
      <w:r>
        <w:rPr>
          <w:rFonts w:hint="default" w:ascii="Times New Roman" w:hAnsi="Times New Roman" w:eastAsia="仿宋" w:cs="Times New Roman"/>
          <w:b w:val="0"/>
          <w:bCs w:val="0"/>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30EDD307">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2025</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12月1</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对你（</w:t>
      </w:r>
      <w:r>
        <w:rPr>
          <w:rFonts w:hint="default" w:ascii="Times New Roman" w:hAnsi="Times New Roman" w:eastAsia="仿宋" w:cs="Times New Roman"/>
          <w:strike/>
          <w:color w:val="auto"/>
          <w:sz w:val="28"/>
          <w:szCs w:val="28"/>
        </w:rPr>
        <w:t>单位</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04FA97E6">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现查明，你（</w:t>
      </w:r>
      <w:r>
        <w:rPr>
          <w:rFonts w:hint="default" w:ascii="Times New Roman" w:hAnsi="Times New Roman" w:eastAsia="仿宋" w:cs="Times New Roman"/>
          <w:strike/>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柳东路220号3栋1单元1-1北面</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一层钢架结构房屋一处</w:t>
      </w:r>
      <w:r>
        <w:rPr>
          <w:rFonts w:hint="default" w:ascii="Times New Roman" w:hAnsi="Times New Roman" w:eastAsia="仿宋" w:cs="Times New Roman"/>
          <w:b w:val="0"/>
          <w:bCs w:val="0"/>
          <w:color w:val="auto"/>
          <w:sz w:val="28"/>
          <w:u w:val="single"/>
          <w:lang w:val="en-US" w:eastAsia="zh-CN"/>
        </w:rPr>
        <w:t>（建设面积合计为</w:t>
      </w:r>
      <w:r>
        <w:rPr>
          <w:rFonts w:hint="eastAsia" w:eastAsia="仿宋" w:cs="Times New Roman"/>
          <w:b w:val="0"/>
          <w:bCs w:val="0"/>
          <w:color w:val="auto"/>
          <w:sz w:val="28"/>
          <w:u w:val="single"/>
          <w:lang w:val="en-US" w:eastAsia="zh-CN"/>
        </w:rPr>
        <w:t>12</w:t>
      </w:r>
      <w:r>
        <w:rPr>
          <w:rFonts w:hint="default" w:ascii="Times New Roman" w:hAnsi="Times New Roman" w:eastAsia="仿宋" w:cs="Times New Roman"/>
          <w:b w:val="0"/>
          <w:bCs w:val="0"/>
          <w:color w:val="auto"/>
          <w:sz w:val="28"/>
          <w:u w:val="single"/>
          <w:lang w:val="en-US" w:eastAsia="zh-CN"/>
        </w:rPr>
        <w:t>平方米）。</w:t>
      </w:r>
      <w:r>
        <w:rPr>
          <w:rFonts w:hint="default" w:ascii="Times New Roman" w:hAnsi="Times New Roman" w:eastAsia="仿宋" w:cs="Times New Roman"/>
          <w:color w:val="auto"/>
          <w:sz w:val="28"/>
          <w:szCs w:val="28"/>
        </w:rPr>
        <w:t>本机关认为，你（</w:t>
      </w:r>
      <w:r>
        <w:rPr>
          <w:rFonts w:hint="default" w:ascii="Times New Roman" w:hAnsi="Times New Roman" w:eastAsia="仿宋" w:cs="Times New Roman"/>
          <w:strike/>
          <w:color w:val="auto"/>
          <w:sz w:val="28"/>
          <w:szCs w:val="28"/>
        </w:rPr>
        <w:t>单位</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《中华人民共和国城乡规划法》第四十条第一款</w:t>
      </w:r>
      <w:r>
        <w:rPr>
          <w:rFonts w:hint="default" w:ascii="Times New Roman" w:hAnsi="Times New Roman" w:eastAsia="仿宋" w:cs="Times New Roman"/>
          <w:color w:val="auto"/>
          <w:sz w:val="28"/>
        </w:rPr>
        <w:t>的规定，依据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拟对你（</w:t>
      </w:r>
      <w:r>
        <w:rPr>
          <w:rFonts w:hint="default" w:ascii="Times New Roman" w:hAnsi="Times New Roman" w:eastAsia="仿宋" w:cs="Times New Roman"/>
          <w:strike/>
          <w:color w:val="auto"/>
          <w:sz w:val="28"/>
          <w:szCs w:val="28"/>
        </w:rPr>
        <w:t>单位</w:t>
      </w:r>
      <w:r>
        <w:rPr>
          <w:rFonts w:hint="default" w:ascii="Times New Roman" w:hAnsi="Times New Roman" w:eastAsia="仿宋" w:cs="Times New Roman"/>
          <w:color w:val="auto"/>
          <w:sz w:val="28"/>
          <w:szCs w:val="28"/>
        </w:rPr>
        <w:t>）作出如下决定：</w:t>
      </w:r>
      <w:r>
        <w:rPr>
          <w:rFonts w:hint="eastAsia"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u w:val="single"/>
          <w:lang w:eastAsia="zh-CN"/>
        </w:rPr>
        <w:t>。</w:t>
      </w:r>
    </w:p>
    <w:p w14:paraId="2488D3F4">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条的规定，你（</w:t>
      </w:r>
      <w:r>
        <w:rPr>
          <w:rFonts w:hint="default" w:ascii="Times New Roman" w:hAnsi="Times New Roman" w:eastAsia="仿宋" w:cs="Times New Roman"/>
          <w:strike/>
          <w:color w:val="auto"/>
          <w:sz w:val="28"/>
          <w:szCs w:val="28"/>
        </w:rPr>
        <w:t>单位</w:t>
      </w:r>
      <w:r>
        <w:rPr>
          <w:rFonts w:hint="default" w:ascii="Times New Roman" w:hAnsi="Times New Roman" w:eastAsia="仿宋" w:cs="Times New Roman"/>
          <w:color w:val="auto"/>
          <w:sz w:val="28"/>
          <w:szCs w:val="28"/>
        </w:rPr>
        <w:t>）对本机关上述认定的违法事实、处罚依据及处罚内容等</w:t>
      </w:r>
      <w:r>
        <w:rPr>
          <w:rFonts w:hint="default" w:ascii="Times New Roman" w:hAnsi="Times New Roman" w:eastAsia="仿宋" w:cs="Times New Roman"/>
          <w:sz w:val="28"/>
          <w:szCs w:val="28"/>
        </w:rPr>
        <w:t>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48CA1FB9">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逾期不提供书面陈述、申辩意见，本机关将依法作出处理决定。</w:t>
      </w:r>
    </w:p>
    <w:p w14:paraId="2A547B73">
      <w:pPr>
        <w:keepNext w:val="0"/>
        <w:keepLines w:val="0"/>
        <w:pageBreakBefore w:val="0"/>
        <w:widowControl w:val="0"/>
        <w:kinsoku/>
        <w:wordWrap/>
        <w:overflowPunct w:val="0"/>
        <w:topLinePunct w:val="0"/>
        <w:autoSpaceDE/>
        <w:autoSpaceDN/>
        <w:bidi w:val="0"/>
        <w:adjustRightInd w:val="0"/>
        <w:snapToGrid w:val="0"/>
        <w:spacing w:line="480" w:lineRule="atLeast"/>
        <w:ind w:left="538"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 系 人：</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val="en-US" w:eastAsia="zh-CN"/>
        </w:rPr>
        <w:t>两违治理中队 吴小龙、王红</w:t>
      </w:r>
      <w:r>
        <w:rPr>
          <w:rFonts w:hint="default" w:ascii="Times New Roman" w:hAnsi="Times New Roman" w:eastAsia="仿宋" w:cs="Times New Roman"/>
          <w:color w:val="060606"/>
          <w:sz w:val="24"/>
          <w:szCs w:val="24"/>
          <w:u w:val="single"/>
          <w:lang w:val="en-US" w:eastAsia="zh-CN"/>
        </w:rPr>
        <w:t xml:space="preserve">    </w:t>
      </w:r>
      <w:r>
        <w:rPr>
          <w:rFonts w:hint="default" w:ascii="Times New Roman" w:hAnsi="Times New Roman" w:eastAsia="仿宋" w:cs="Times New Roman"/>
          <w:sz w:val="24"/>
          <w:szCs w:val="24"/>
        </w:rPr>
        <w:t>联系电话：</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15577772989</w:t>
      </w:r>
      <w:r>
        <w:rPr>
          <w:rFonts w:hint="default" w:ascii="Times New Roman" w:hAnsi="Times New Roman" w:eastAsia="仿宋" w:cs="Times New Roman"/>
          <w:color w:val="060606"/>
          <w:sz w:val="24"/>
          <w:szCs w:val="24"/>
          <w:u w:val="single"/>
          <w:lang w:val="en-US" w:eastAsia="zh-CN"/>
        </w:rPr>
        <w:t xml:space="preserve">                         </w:t>
      </w:r>
    </w:p>
    <w:p w14:paraId="0D11E26A">
      <w:pPr>
        <w:keepNext w:val="0"/>
        <w:keepLines w:val="0"/>
        <w:pageBreakBefore w:val="0"/>
        <w:widowControl w:val="0"/>
        <w:kinsoku/>
        <w:wordWrap/>
        <w:overflowPunct w:val="0"/>
        <w:topLinePunct w:val="0"/>
        <w:autoSpaceDE/>
        <w:autoSpaceDN/>
        <w:bidi w:val="0"/>
        <w:adjustRightInd w:val="0"/>
        <w:snapToGrid w:val="0"/>
        <w:spacing w:line="480" w:lineRule="atLeast"/>
        <w:ind w:left="538"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联系地址：</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柳石路394号</w:t>
      </w:r>
      <w:r>
        <w:rPr>
          <w:rFonts w:hint="default" w:ascii="Times New Roman" w:hAnsi="Times New Roman" w:eastAsia="仿宋" w:cs="Times New Roman"/>
          <w:color w:val="060606"/>
          <w:sz w:val="24"/>
          <w:szCs w:val="24"/>
          <w:u w:val="single"/>
          <w:lang w:val="en-US" w:eastAsia="zh-CN"/>
        </w:rPr>
        <w:t xml:space="preserve">                                                          </w:t>
      </w:r>
    </w:p>
    <w:p w14:paraId="43048C96">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rPr>
          <w:rFonts w:hint="default" w:ascii="Times New Roman" w:hAnsi="Times New Roman" w:eastAsia="仿宋" w:cs="Times New Roman"/>
          <w:sz w:val="28"/>
          <w:szCs w:val="28"/>
          <w:u w:val="none"/>
          <w:lang w:eastAsia="zh-CN"/>
        </w:rPr>
      </w:pPr>
    </w:p>
    <w:p w14:paraId="16937451">
      <w:pPr>
        <w:keepNext w:val="0"/>
        <w:keepLines w:val="0"/>
        <w:pageBreakBefore w:val="0"/>
        <w:widowControl w:val="0"/>
        <w:kinsoku/>
        <w:wordWrap w:val="0"/>
        <w:topLinePunct w:val="0"/>
        <w:autoSpaceDE/>
        <w:autoSpaceDN/>
        <w:bidi w:val="0"/>
        <w:spacing w:line="440" w:lineRule="exact"/>
        <w:ind w:left="538" w:leftChars="279" w:right="0" w:firstLine="474"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lang w:eastAsia="zh-CN"/>
        </w:rPr>
        <w:t>柳州市鱼峰区</w:t>
      </w:r>
      <w:r>
        <w:rPr>
          <w:rFonts w:hint="eastAsia" w:eastAsia="仿宋" w:cs="Times New Roman"/>
          <w:sz w:val="28"/>
          <w:szCs w:val="28"/>
          <w:lang w:eastAsia="zh-CN"/>
        </w:rPr>
        <w:t>综合行政执法局</w:t>
      </w:r>
      <w:r>
        <w:rPr>
          <w:rFonts w:hint="eastAsia" w:eastAsia="仿宋" w:cs="Times New Roman"/>
          <w:sz w:val="28"/>
          <w:szCs w:val="28"/>
          <w:lang w:val="en-US" w:eastAsia="zh-CN"/>
        </w:rPr>
        <w:t xml:space="preserve">    </w:t>
      </w:r>
    </w:p>
    <w:p w14:paraId="55898D36">
      <w:pPr>
        <w:keepNext w:val="0"/>
        <w:keepLines w:val="0"/>
        <w:pageBreakBefore w:val="0"/>
        <w:widowControl w:val="0"/>
        <w:kinsoku/>
        <w:wordWrap/>
        <w:overflowPunct w:val="0"/>
        <w:topLinePunct w:val="0"/>
        <w:autoSpaceDE/>
        <w:autoSpaceDN/>
        <w:bidi w:val="0"/>
        <w:snapToGrid w:val="0"/>
        <w:spacing w:after="145" w:line="480" w:lineRule="exact"/>
        <w:ind w:left="538" w:leftChars="279" w:right="0" w:firstLine="474" w:firstLineChars="0"/>
        <w:jc w:val="left"/>
        <w:textAlignment w:val="auto"/>
        <w:outlineLvl w:val="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eastAsia="zh-CN"/>
        </w:rPr>
        <w:t>二</w:t>
      </w:r>
      <w:r>
        <w:rPr>
          <w:rFonts w:hint="default" w:ascii="Times New Roman" w:hAnsi="Times New Roman" w:eastAsia="仿宋" w:cs="Times New Roman"/>
          <w:sz w:val="28"/>
          <w:szCs w:val="28"/>
          <w:lang w:val="en-US" w:eastAsia="zh-CN"/>
        </w:rPr>
        <w:t>0二六</w:t>
      </w:r>
      <w:r>
        <w:rPr>
          <w:rFonts w:hint="default" w:ascii="Times New Roman" w:hAnsi="Times New Roman" w:eastAsia="仿宋" w:cs="Times New Roman"/>
          <w:sz w:val="28"/>
          <w:szCs w:val="28"/>
        </w:rPr>
        <w:t>年</w:t>
      </w:r>
      <w:r>
        <w:rPr>
          <w:rFonts w:hint="default" w:ascii="Times New Roman" w:hAnsi="Times New Roman" w:eastAsia="仿宋" w:cs="Times New Roman"/>
          <w:sz w:val="28"/>
          <w:szCs w:val="28"/>
          <w:lang w:val="en-US"/>
        </w:rPr>
        <w:t xml:space="preserve"> 一</w:t>
      </w:r>
      <w:r>
        <w:rPr>
          <w:rFonts w:hint="default" w:ascii="Times New Roman" w:hAnsi="Times New Roman" w:eastAsia="仿宋" w:cs="Times New Roman"/>
          <w:sz w:val="28"/>
          <w:szCs w:val="28"/>
          <w:u w:val="none"/>
        </w:rPr>
        <w:t>月</w:t>
      </w:r>
      <w:r>
        <w:rPr>
          <w:rFonts w:hint="default" w:ascii="Times New Roman" w:hAnsi="Times New Roman" w:eastAsia="仿宋" w:cs="Times New Roman"/>
          <w:sz w:val="28"/>
          <w:szCs w:val="28"/>
          <w:u w:val="none"/>
          <w:lang w:val="en-US"/>
        </w:rPr>
        <w:t xml:space="preserve"> 八</w:t>
      </w:r>
      <w:r>
        <w:rPr>
          <w:rFonts w:hint="default" w:ascii="Times New Roman" w:hAnsi="Times New Roman" w:eastAsia="仿宋" w:cs="Times New Roman"/>
          <w:sz w:val="28"/>
          <w:szCs w:val="28"/>
        </w:rPr>
        <w:t>日</w:t>
      </w:r>
    </w:p>
    <w:p w14:paraId="30A2F92A">
      <w:pPr>
        <w:keepNext w:val="0"/>
        <w:keepLines w:val="0"/>
        <w:pageBreakBefore w:val="0"/>
        <w:widowControl w:val="0"/>
        <w:kinsoku/>
        <w:wordWrap/>
        <w:overflowPunct/>
        <w:topLinePunct w:val="0"/>
        <w:autoSpaceDE/>
        <w:autoSpaceDN/>
        <w:bidi w:val="0"/>
        <w:adjustRightInd/>
        <w:snapToGrid/>
        <w:spacing w:line="400" w:lineRule="exact"/>
        <w:ind w:firstLine="526" w:firstLineChars="200"/>
        <w:jc w:val="left"/>
        <w:textAlignment w:val="auto"/>
        <w:outlineLvl w:val="9"/>
        <w:rPr>
          <w:rFonts w:hint="default" w:ascii="Times New Roman" w:hAnsi="Times New Roman" w:eastAsia="仿宋" w:cs="Times New Roman"/>
          <w:kern w:val="0"/>
          <w:sz w:val="24"/>
          <w:highlight w:val="none"/>
        </w:rPr>
      </w:pPr>
      <w:r>
        <w:rPr>
          <w:rFonts w:hint="default" w:ascii="Times New Roman" w:hAnsi="Times New Roman" w:eastAsia="仿宋" w:cs="Times New Roman"/>
          <w:sz w:val="28"/>
          <w:szCs w:val="28"/>
          <w:lang w:eastAsia="zh-CN"/>
        </w:rPr>
        <w:t>附</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b/>
          <w:bCs/>
          <w:kern w:val="0"/>
          <w:sz w:val="24"/>
          <w:highlight w:val="none"/>
        </w:rPr>
        <w:t>《中华人民共和国城乡规划法》</w:t>
      </w:r>
    </w:p>
    <w:p w14:paraId="65BEC29B">
      <w:pPr>
        <w:keepNext w:val="0"/>
        <w:keepLines w:val="0"/>
        <w:pageBreakBefore w:val="0"/>
        <w:widowControl w:val="0"/>
        <w:kinsoku/>
        <w:wordWrap/>
        <w:overflowPunct/>
        <w:topLinePunct w:val="0"/>
        <w:autoSpaceDE/>
        <w:autoSpaceDN/>
        <w:bidi w:val="0"/>
        <w:adjustRightInd/>
        <w:snapToGrid/>
        <w:spacing w:line="400" w:lineRule="exact"/>
        <w:ind w:left="538" w:leftChars="279" w:firstLine="474" w:firstLineChars="0"/>
        <w:jc w:val="left"/>
        <w:textAlignment w:val="auto"/>
        <w:outlineLvl w:val="9"/>
        <w:rPr>
          <w:rFonts w:hint="default" w:ascii="Times New Roman" w:hAnsi="Times New Roman" w:eastAsia="仿宋" w:cs="Times New Roman"/>
          <w:kern w:val="0"/>
          <w:sz w:val="24"/>
        </w:rPr>
      </w:pPr>
      <w:r>
        <w:rPr>
          <w:rFonts w:hint="default" w:ascii="Times New Roman" w:hAnsi="Times New Roman" w:eastAsia="仿宋" w:cs="Times New Roman"/>
          <w:b/>
          <w:kern w:val="0"/>
          <w:sz w:val="24"/>
          <w:highlight w:val="none"/>
        </w:rPr>
        <w:t>第四十条</w:t>
      </w:r>
      <w:r>
        <w:rPr>
          <w:rFonts w:hint="default" w:ascii="Times New Roman" w:hAnsi="Times New Roman" w:eastAsia="仿宋" w:cs="Times New Roman"/>
          <w:kern w:val="0"/>
          <w:sz w:val="24"/>
          <w:highlight w:val="none"/>
        </w:rPr>
        <w:t>　在城市、镇</w:t>
      </w:r>
      <w:r>
        <w:rPr>
          <w:rFonts w:hint="default" w:ascii="Times New Roman" w:hAnsi="Times New Roman" w:eastAsia="仿宋" w:cs="Times New Roman"/>
          <w:kern w:val="0"/>
          <w:sz w:val="24"/>
        </w:rPr>
        <w:t>规划区内进行建筑物、构筑物、道路、管线和其他工程建设的，建设单位或者个人应当向城市、县人民政府城乡规划主管部门或者省、自治区、直辖市人民政府确定的镇人民政府申请办理建设工程规划许可证。</w:t>
      </w:r>
    </w:p>
    <w:p w14:paraId="01F16372">
      <w:pPr>
        <w:keepNext w:val="0"/>
        <w:keepLines w:val="0"/>
        <w:pageBreakBefore w:val="0"/>
        <w:widowControl w:val="0"/>
        <w:kinsoku/>
        <w:wordWrap/>
        <w:overflowPunct/>
        <w:topLinePunct w:val="0"/>
        <w:autoSpaceDE/>
        <w:autoSpaceDN/>
        <w:bidi w:val="0"/>
        <w:adjustRightInd/>
        <w:snapToGrid/>
        <w:spacing w:line="400" w:lineRule="exact"/>
        <w:ind w:left="538" w:leftChars="279" w:firstLine="474" w:firstLineChars="0"/>
        <w:jc w:val="left"/>
        <w:textAlignment w:val="auto"/>
        <w:outlineLvl w:val="9"/>
        <w:rPr>
          <w:rFonts w:hint="default" w:ascii="Times New Roman" w:hAnsi="Times New Roman" w:eastAsia="仿宋" w:cs="Times New Roman"/>
          <w:u w:val="thick"/>
          <w:lang w:val="en-US" w:eastAsia="zh-CN"/>
        </w:rPr>
      </w:pPr>
      <w:r>
        <w:rPr>
          <w:rFonts w:hint="default" w:ascii="Times New Roman" w:hAnsi="Times New Roman" w:eastAsia="仿宋" w:cs="Times New Roman"/>
          <w:b/>
          <w:kern w:val="0"/>
          <w:sz w:val="24"/>
        </w:rPr>
        <w:t>第六十四条</w:t>
      </w:r>
      <w:r>
        <w:rPr>
          <w:rFonts w:hint="default" w:ascii="Times New Roman" w:hAnsi="Times New Roman" w:eastAsia="仿宋"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w:t>
      </w:r>
      <w:r>
        <w:rPr>
          <w:rFonts w:hint="default" w:ascii="Times New Roman" w:hAnsi="Times New Roman" w:eastAsia="仿宋" w:cs="Times New Roman"/>
          <w:kern w:val="0"/>
          <w:sz w:val="24"/>
          <w:u w:val="none"/>
        </w:rPr>
        <w:t>正措施消除影响的，限期拆除，不能拆除的，没收实物或者违法收入，可以并处建设工程造价</w:t>
      </w:r>
      <w:r>
        <w:rPr>
          <w:rFonts w:hint="default" w:ascii="Times New Roman" w:hAnsi="Times New Roman" w:eastAsia="仿宋" w:cs="Times New Roman"/>
          <w:kern w:val="0"/>
          <w:sz w:val="24"/>
          <w:u w:val="thick"/>
        </w:rPr>
        <w:t>百分之十以下的罚款。</w:t>
      </w:r>
      <w:r>
        <w:rPr>
          <w:rFonts w:hint="eastAsia" w:eastAsia="仿宋" w:cs="Times New Roman"/>
          <w:kern w:val="0"/>
          <w:sz w:val="24"/>
          <w:u w:val="thick"/>
          <w:lang w:val="en-US" w:eastAsia="zh-CN"/>
        </w:rPr>
        <w:t xml:space="preserve">                                                                                </w:t>
      </w:r>
    </w:p>
    <w:p w14:paraId="272C09F7">
      <w:pPr>
        <w:spacing w:line="500" w:lineRule="exact"/>
        <w:ind w:left="538" w:leftChars="279" w:firstLine="474" w:firstLineChars="0"/>
        <w:jc w:val="right"/>
        <w:rPr>
          <w:rFonts w:hint="eastAsia" w:ascii="宋体" w:hAnsi="宋体"/>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pgBorders>
            <w:top w:val="none" w:sz="0" w:space="0"/>
            <w:left w:val="none" w:sz="0" w:space="0"/>
            <w:bottom w:val="none" w:sz="0" w:space="0"/>
            <w:right w:val="none" w:sz="0" w:space="0"/>
          </w:pgBorders>
          <w:cols w:space="720" w:num="1"/>
          <w:docGrid w:type="linesAndChars" w:linePitch="290" w:charSpace="-3531"/>
        </w:sectPr>
      </w:pPr>
      <w:r>
        <w:rPr>
          <w:rFonts w:hint="default" w:ascii="Times New Roman" w:hAnsi="Times New Roman" w:eastAsia="仿宋" w:cs="Times New Roman"/>
          <w:spacing w:val="8"/>
          <w:sz w:val="28"/>
          <w:szCs w:val="28"/>
        </w:rPr>
        <w:t>第</w:t>
      </w:r>
      <w:r>
        <w:rPr>
          <w:rFonts w:hint="default" w:ascii="Times New Roman" w:hAnsi="Times New Roman" w:eastAsia="仿宋" w:cs="Times New Roman"/>
          <w:spacing w:val="8"/>
          <w:sz w:val="28"/>
          <w:szCs w:val="28"/>
          <w:lang w:val="en-US" w:eastAsia="zh-CN"/>
        </w:rPr>
        <w:t>二</w:t>
      </w:r>
      <w:r>
        <w:rPr>
          <w:rFonts w:hint="default" w:ascii="Times New Roman" w:hAnsi="Times New Roman" w:eastAsia="仿宋" w:cs="Times New Roman"/>
          <w:spacing w:val="8"/>
          <w:sz w:val="28"/>
          <w:szCs w:val="28"/>
        </w:rPr>
        <w:t>联：</w:t>
      </w:r>
      <w:r>
        <w:rPr>
          <w:rFonts w:hint="default" w:ascii="Times New Roman" w:hAnsi="Times New Roman" w:eastAsia="仿宋" w:cs="Times New Roman"/>
          <w:spacing w:val="8"/>
          <w:sz w:val="28"/>
          <w:szCs w:val="28"/>
          <w:lang w:val="en-US" w:eastAsia="zh-CN"/>
        </w:rPr>
        <w:t>交当事人</w:t>
      </w:r>
      <w:r>
        <w:rPr>
          <w:rFonts w:hint="default" w:ascii="Times New Roman" w:hAnsi="Times New Roman" w:eastAsia="仿宋" w:cs="Times New Roman"/>
          <w:spacing w:val="8"/>
          <w:sz w:val="28"/>
          <w:szCs w:val="28"/>
        </w:rPr>
        <w:t>（共二联）</w:t>
      </w:r>
      <w:bookmarkStart w:id="0" w:name="_GoBack"/>
      <w:bookmarkEnd w:id="0"/>
    </w:p>
    <w:p w14:paraId="354D6056">
      <w:pPr>
        <w:pStyle w:val="4"/>
        <w:rPr>
          <w:rFonts w:hint="eastAsia" w:ascii="Times New Roman" w:hAnsi="Times New Roman" w:eastAsia="宋体" w:cs="Times New Roman"/>
          <w:b/>
          <w:sz w:val="36"/>
          <w:szCs w:val="36"/>
          <w:lang w:eastAsia="zh-CN"/>
        </w:rPr>
      </w:pPr>
    </w:p>
    <w:sectPr>
      <w:headerReference r:id="rId8" w:type="default"/>
      <w:pgSz w:w="11906" w:h="16838"/>
      <w:pgMar w:top="720" w:right="1134" w:bottom="72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EB6B1599-62C8-422B-83D7-DE168E5E0C60}"/>
  </w:font>
  <w:font w:name="方正小标宋简体">
    <w:panose1 w:val="02000000000000000000"/>
    <w:charset w:val="86"/>
    <w:family w:val="auto"/>
    <w:pitch w:val="default"/>
    <w:sig w:usb0="00000001" w:usb1="080E0000" w:usb2="00000000" w:usb3="00000000" w:csb0="00040000" w:csb1="00000000"/>
    <w:embedRegular r:id="rId2" w:fontKey="{0E92F881-7939-48FB-AE00-FBF3861672E5}"/>
  </w:font>
  <w:font w:name="Arial Unicode MS">
    <w:altName w:val="宋体"/>
    <w:panose1 w:val="020B0604020002020204"/>
    <w:charset w:val="86"/>
    <w:family w:val="roman"/>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embedRegular r:id="rId3" w:fontKey="{45AE2E6C-B3D2-4840-8B61-ED31AD442A4D}"/>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90257">
    <w:pPr>
      <w:pStyle w:val="7"/>
      <w:framePr w:wrap="around" w:vAnchor="text" w:hAnchor="margin" w:xAlign="center" w:y="1"/>
      <w:rPr>
        <w:rStyle w:val="13"/>
      </w:rPr>
    </w:pPr>
    <w:r>
      <w:fldChar w:fldCharType="begin"/>
    </w:r>
    <w:r>
      <w:rPr>
        <w:rStyle w:val="13"/>
      </w:rPr>
      <w:instrText xml:space="preserve">PAGE  </w:instrText>
    </w:r>
    <w:r>
      <w:fldChar w:fldCharType="end"/>
    </w:r>
  </w:p>
  <w:p w14:paraId="247BD732">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0088D">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1C195">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CEE4B">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4061E">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4174E">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34D28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qFormat/>
    <w:uiPriority w:val="1"/>
  </w:style>
  <w:style w:type="table" w:default="1" w:styleId="11">
    <w:name w:val="Normal Table"/>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qFormat/>
    <w:uiPriority w:val="99"/>
    <w:rPr>
      <w:sz w:val="18"/>
      <w:szCs w:val="18"/>
    </w:rPr>
  </w:style>
  <w:style w:type="paragraph" w:styleId="7">
    <w:name w:val="footer"/>
    <w:basedOn w:val="1"/>
    <w:link w:val="15"/>
    <w:qFormat/>
    <w:uiPriority w:val="99"/>
    <w:pPr>
      <w:tabs>
        <w:tab w:val="center" w:pos="4153"/>
        <w:tab w:val="right" w:pos="8306"/>
      </w:tabs>
      <w:snapToGrid w:val="0"/>
      <w:jc w:val="left"/>
    </w:pPr>
    <w:rPr>
      <w:sz w:val="18"/>
      <w:szCs w:val="18"/>
    </w:rPr>
  </w:style>
  <w:style w:type="paragraph" w:styleId="8">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ind w:left="0" w:right="0"/>
      <w:jc w:val="left"/>
    </w:pPr>
    <w:rPr>
      <w:kern w:val="0"/>
      <w:sz w:val="24"/>
      <w:lang w:val="en-US" w:eastAsia="zh-CN"/>
    </w:rPr>
  </w:style>
  <w:style w:type="character" w:styleId="13">
    <w:name w:val="page number"/>
    <w:basedOn w:val="12"/>
    <w:qFormat/>
    <w:uiPriority w:val="0"/>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character" w:customStyle="1" w:styleId="16">
    <w:name w:val="批注框文本 Char"/>
    <w:basedOn w:val="12"/>
    <w:link w:val="6"/>
    <w:qFormat/>
    <w:uiPriority w:val="99"/>
    <w:rPr>
      <w:rFonts w:ascii="Times New Roman" w:hAnsi="Times New Roman" w:eastAsia="宋体" w:cs="Times New Roman"/>
      <w:sz w:val="18"/>
      <w:szCs w:val="18"/>
    </w:rPr>
  </w:style>
  <w:style w:type="character" w:customStyle="1" w:styleId="17">
    <w:name w:val="HTML 预设格式 Char"/>
    <w:basedOn w:val="12"/>
    <w:link w:val="9"/>
    <w:qFormat/>
    <w:uiPriority w:val="0"/>
    <w:rPr>
      <w:rFonts w:ascii="黑体" w:hAnsi="Courier New" w:eastAsia="黑体" w:cs="Courier New"/>
      <w:kern w:val="0"/>
      <w:sz w:val="20"/>
      <w:szCs w:val="20"/>
    </w:rPr>
  </w:style>
  <w:style w:type="character" w:customStyle="1" w:styleId="18">
    <w:name w:val="正文文本 Char"/>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759</Words>
  <Characters>787</Characters>
  <Paragraphs>32</Paragraphs>
  <TotalTime>8</TotalTime>
  <ScaleCrop>false</ScaleCrop>
  <LinksUpToDate>false</LinksUpToDate>
  <CharactersWithSpaces>1025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2021-10-23T10:31:00Z</dcterms:created>
  <dc:creator>Windows 用户</dc:creator>
  <cp:lastModifiedBy>芝蔴阿門</cp:lastModifiedBy>
  <cp:lastPrinted>2026-01-09T10:33:00Z</cp:lastPrinted>
  <dcterms:modified xsi:type="dcterms:W3CDTF">2026-01-12T05:21:29Z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2805dc2653544001a92648d922c7fd78_23</vt:lpwstr>
  </property>
  <property fmtid="{D5CDD505-2E9C-101B-9397-08002B2CF9AE}" pid="4" name="KSOTemplateDocerSaveRecord">
    <vt:lpwstr>eyJoZGlkIjoiMjRjMmIwN2JhY2U2OGYwZDk1MzkyNTcwZTk0ZTdlY2IiLCJ1c2VySWQiOiIyOTI2NjkwNzAifQ==</vt:lpwstr>
  </property>
</Properties>
</file>