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F08C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rPr>
        <w:t>柳州市</w:t>
      </w:r>
      <w:r>
        <w:rPr>
          <w:rFonts w:hint="eastAsia" w:ascii="方正小标宋简体" w:hAnsi="方正小标宋简体" w:eastAsia="方正小标宋简体" w:cs="方正小标宋简体"/>
          <w:bCs/>
          <w:sz w:val="32"/>
          <w:szCs w:val="32"/>
          <w:lang w:eastAsia="zh-CN"/>
        </w:rPr>
        <w:t>鱼峰区综合行政执法局</w:t>
      </w:r>
    </w:p>
    <w:p w14:paraId="5149E53A">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行政处罚告知书</w:t>
      </w:r>
    </w:p>
    <w:p w14:paraId="3D20ABF3">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罚告字</w:t>
      </w:r>
      <w:r>
        <w:rPr>
          <w:rFonts w:hint="eastAsia" w:ascii="仿宋_GB2312" w:eastAsia="仿宋_GB2312"/>
          <w:sz w:val="28"/>
          <w:lang w:eastAsia="zh-CN"/>
        </w:rPr>
        <w:t>〔2025〕第26096号</w:t>
      </w:r>
      <w:r>
        <w:rPr>
          <w:rFonts w:hint="eastAsia" w:ascii="仿宋_GB2312" w:eastAsia="仿宋_GB2312"/>
          <w:sz w:val="28"/>
        </w:rPr>
        <w:t xml:space="preserve"> </w:t>
      </w:r>
    </w:p>
    <w:p w14:paraId="011719D2">
      <w:pPr>
        <w:spacing w:line="480" w:lineRule="exact"/>
        <w:rPr>
          <w:rFonts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杨正明</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0D957A60">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u w:val="single"/>
        </w:rPr>
        <w:t>《中华人民共和国行政处罚法》第五十四条</w:t>
      </w:r>
      <w:r>
        <w:rPr>
          <w:rFonts w:hint="eastAsia" w:ascii="仿宋" w:hAnsi="仿宋" w:eastAsia="仿宋" w:cs="仿宋"/>
          <w:sz w:val="28"/>
          <w:szCs w:val="28"/>
        </w:rPr>
        <w:t>的规定，本机关于</w:t>
      </w:r>
      <w:r>
        <w:rPr>
          <w:rFonts w:hint="eastAsia" w:ascii="仿宋" w:hAnsi="仿宋" w:eastAsia="仿宋" w:cs="仿宋"/>
          <w:sz w:val="28"/>
          <w:szCs w:val="28"/>
          <w:u w:val="single"/>
          <w:lang w:eastAsia="zh-CN"/>
        </w:rPr>
        <w:t>2025年11月3日</w:t>
      </w:r>
      <w:r>
        <w:rPr>
          <w:rFonts w:hint="eastAsia" w:ascii="仿宋" w:hAnsi="仿宋" w:eastAsia="仿宋" w:cs="仿宋"/>
          <w:sz w:val="28"/>
          <w:szCs w:val="28"/>
        </w:rPr>
        <w:t>对</w:t>
      </w:r>
      <w:r>
        <w:rPr>
          <w:rFonts w:hint="eastAsia" w:ascii="仿宋" w:hAnsi="仿宋" w:eastAsia="仿宋" w:cs="仿宋"/>
          <w:sz w:val="28"/>
          <w:szCs w:val="28"/>
          <w:lang w:eastAsia="zh-CN"/>
        </w:rPr>
        <w:t>你</w:t>
      </w:r>
      <w:r>
        <w:rPr>
          <w:rFonts w:hint="eastAsia" w:ascii="仿宋" w:hAnsi="仿宋" w:eastAsia="仿宋" w:cs="仿宋"/>
          <w:strike/>
          <w:dstrike w:val="0"/>
          <w:sz w:val="28"/>
          <w:szCs w:val="28"/>
          <w:lang w:eastAsia="zh-CN"/>
        </w:rPr>
        <w:t>（单位）</w:t>
      </w:r>
      <w:r>
        <w:rPr>
          <w:rFonts w:hint="eastAsia" w:ascii="仿宋" w:hAnsi="仿宋" w:eastAsia="仿宋" w:cs="仿宋"/>
          <w:sz w:val="28"/>
          <w:szCs w:val="28"/>
        </w:rPr>
        <w:t>涉嫌</w:t>
      </w:r>
      <w:r>
        <w:rPr>
          <w:rFonts w:hint="eastAsia" w:ascii="仿宋" w:hAnsi="仿宋" w:eastAsia="仿宋" w:cs="仿宋"/>
          <w:sz w:val="28"/>
          <w:szCs w:val="28"/>
          <w:u w:val="single"/>
        </w:rPr>
        <w:t>未经许可擅自</w:t>
      </w:r>
      <w:r>
        <w:rPr>
          <w:rFonts w:hint="eastAsia" w:ascii="仿宋" w:hAnsi="仿宋" w:eastAsia="仿宋" w:cs="仿宋"/>
          <w:sz w:val="28"/>
          <w:szCs w:val="28"/>
          <w:u w:val="single"/>
          <w:lang w:eastAsia="zh-CN"/>
        </w:rPr>
        <w:t>改变外立面</w:t>
      </w:r>
      <w:r>
        <w:rPr>
          <w:rFonts w:hint="eastAsia" w:ascii="仿宋" w:hAnsi="仿宋" w:eastAsia="仿宋" w:cs="仿宋"/>
          <w:sz w:val="28"/>
          <w:szCs w:val="28"/>
        </w:rPr>
        <w:t>的行为予以立案调查。</w:t>
      </w:r>
    </w:p>
    <w:p w14:paraId="69F4498F">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ascii="仿宋" w:hAnsi="仿宋" w:eastAsia="仿宋" w:cs="仿宋"/>
          <w:sz w:val="28"/>
          <w:szCs w:val="28"/>
        </w:rPr>
      </w:pPr>
      <w:r>
        <w:rPr>
          <w:rFonts w:hint="eastAsia" w:ascii="仿宋" w:hAnsi="仿宋" w:eastAsia="仿宋" w:cs="仿宋"/>
          <w:sz w:val="28"/>
          <w:szCs w:val="28"/>
        </w:rPr>
        <w:t>现查明，</w:t>
      </w:r>
      <w:r>
        <w:rPr>
          <w:rFonts w:hint="eastAsia" w:ascii="仿宋" w:hAnsi="仿宋" w:eastAsia="仿宋" w:cs="仿宋"/>
          <w:sz w:val="28"/>
          <w:szCs w:val="28"/>
          <w:lang w:eastAsia="zh-CN"/>
        </w:rPr>
        <w:t>你</w:t>
      </w:r>
      <w:r>
        <w:rPr>
          <w:rFonts w:hint="eastAsia" w:ascii="仿宋" w:hAnsi="仿宋" w:eastAsia="仿宋" w:cs="仿宋"/>
          <w:strike/>
          <w:dstrike w:val="0"/>
          <w:sz w:val="28"/>
          <w:szCs w:val="28"/>
          <w:lang w:eastAsia="zh-CN"/>
        </w:rPr>
        <w:t>（单位）</w:t>
      </w:r>
      <w:r>
        <w:rPr>
          <w:rFonts w:hint="eastAsia" w:ascii="仿宋_GB2312" w:hAnsi="仿宋" w:eastAsia="仿宋_GB2312" w:cs="仿宋"/>
          <w:sz w:val="28"/>
          <w:szCs w:val="28"/>
        </w:rPr>
        <w:t>未经许可擅自</w:t>
      </w:r>
      <w:r>
        <w:rPr>
          <w:rFonts w:hint="eastAsia" w:ascii="仿宋_GB2312" w:eastAsia="仿宋_GB2312"/>
          <w:sz w:val="28"/>
        </w:rPr>
        <w:t>在</w:t>
      </w:r>
      <w:r>
        <w:rPr>
          <w:rFonts w:hint="eastAsia" w:ascii="仿宋_GB2312" w:eastAsia="仿宋_GB2312"/>
          <w:sz w:val="28"/>
          <w:u w:val="single"/>
          <w:lang w:eastAsia="zh-CN"/>
        </w:rPr>
        <w:t>柳石路79号桂人山庄1-12改变外立面开门一处，建设尺寸为宽4.6米，高3米</w:t>
      </w:r>
      <w:r>
        <w:rPr>
          <w:rFonts w:hint="eastAsia" w:ascii="仿宋_GB2312" w:eastAsia="仿宋_GB2312"/>
          <w:sz w:val="28"/>
          <w:u w:val="single"/>
        </w:rPr>
        <w:t>。</w:t>
      </w:r>
      <w:r>
        <w:rPr>
          <w:rFonts w:hint="eastAsia" w:ascii="仿宋" w:hAnsi="仿宋" w:eastAsia="仿宋" w:cs="仿宋"/>
          <w:sz w:val="28"/>
          <w:szCs w:val="28"/>
        </w:rPr>
        <w:t>本机关认为，</w:t>
      </w:r>
      <w:r>
        <w:rPr>
          <w:rFonts w:hint="eastAsia" w:ascii="仿宋" w:hAnsi="仿宋" w:eastAsia="仿宋" w:cs="仿宋"/>
          <w:sz w:val="28"/>
          <w:szCs w:val="28"/>
          <w:lang w:eastAsia="zh-CN"/>
        </w:rPr>
        <w:t>你</w:t>
      </w:r>
      <w:r>
        <w:rPr>
          <w:rFonts w:hint="eastAsia" w:ascii="仿宋" w:hAnsi="仿宋" w:eastAsia="仿宋" w:cs="仿宋"/>
          <w:strike/>
          <w:dstrike w:val="0"/>
          <w:sz w:val="28"/>
          <w:szCs w:val="28"/>
          <w:lang w:eastAsia="zh-CN"/>
        </w:rPr>
        <w:t>（单位）</w:t>
      </w:r>
      <w:r>
        <w:rPr>
          <w:rFonts w:hint="eastAsia" w:ascii="仿宋" w:hAnsi="仿宋" w:eastAsia="仿宋" w:cs="仿宋"/>
          <w:sz w:val="28"/>
          <w:szCs w:val="28"/>
        </w:rPr>
        <w:t>的上述行为违反了《住宅室内装饰装修管理办法》第六条第一款第（二）项及《中华人民共和国城乡规划法》第四十条第一款的规定，</w:t>
      </w:r>
      <w:r>
        <w:rPr>
          <w:rFonts w:hint="eastAsia" w:ascii="仿宋_GB2312" w:eastAsia="仿宋_GB2312"/>
          <w:sz w:val="28"/>
        </w:rPr>
        <w:t>依据《住宅室内装饰装修管理办法》第三十九条及《中华人民共和国城乡规划法》第六十四条的规定，</w:t>
      </w:r>
      <w:r>
        <w:rPr>
          <w:rFonts w:hint="eastAsia" w:ascii="仿宋" w:hAnsi="仿宋" w:eastAsia="仿宋" w:cs="仿宋"/>
          <w:sz w:val="28"/>
          <w:szCs w:val="28"/>
        </w:rPr>
        <w:t>拟对</w:t>
      </w:r>
      <w:r>
        <w:rPr>
          <w:rFonts w:hint="eastAsia" w:ascii="仿宋" w:hAnsi="仿宋" w:eastAsia="仿宋" w:cs="仿宋"/>
          <w:sz w:val="28"/>
          <w:szCs w:val="28"/>
          <w:lang w:eastAsia="zh-CN"/>
        </w:rPr>
        <w:t>你</w:t>
      </w:r>
      <w:r>
        <w:rPr>
          <w:rFonts w:hint="eastAsia" w:ascii="仿宋" w:hAnsi="仿宋" w:eastAsia="仿宋" w:cs="仿宋"/>
          <w:strike/>
          <w:dstrike w:val="0"/>
          <w:sz w:val="28"/>
          <w:szCs w:val="28"/>
          <w:lang w:eastAsia="zh-CN"/>
        </w:rPr>
        <w:t>（单位）</w:t>
      </w:r>
      <w:r>
        <w:rPr>
          <w:rFonts w:hint="eastAsia" w:ascii="仿宋" w:hAnsi="仿宋" w:eastAsia="仿宋" w:cs="仿宋"/>
          <w:sz w:val="28"/>
          <w:szCs w:val="28"/>
        </w:rPr>
        <w:t>作出如下决定：</w:t>
      </w:r>
    </w:p>
    <w:p w14:paraId="66436B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sz w:val="28"/>
          <w:szCs w:val="28"/>
          <w:u w:val="single"/>
        </w:rPr>
      </w:pPr>
      <w:r>
        <w:rPr>
          <w:rFonts w:hint="eastAsia" w:ascii="仿宋" w:hAnsi="仿宋" w:eastAsia="仿宋" w:cs="仿宋"/>
          <w:sz w:val="28"/>
          <w:szCs w:val="28"/>
        </w:rPr>
        <w:t xml:space="preserve">    </w:t>
      </w:r>
      <w:r>
        <w:rPr>
          <w:rFonts w:hint="eastAsia" w:ascii="仿宋" w:hAnsi="仿宋" w:eastAsia="仿宋" w:cs="仿宋"/>
          <w:sz w:val="28"/>
          <w:szCs w:val="28"/>
          <w:u w:val="single"/>
          <w:lang w:eastAsia="zh-CN"/>
        </w:rPr>
        <w:t>责令限期自行恢复原状</w:t>
      </w:r>
      <w:r>
        <w:rPr>
          <w:rFonts w:hint="eastAsia" w:ascii="仿宋" w:hAnsi="仿宋" w:eastAsia="仿宋" w:cs="仿宋"/>
          <w:sz w:val="28"/>
          <w:szCs w:val="28"/>
          <w:u w:val="single"/>
        </w:rPr>
        <w:t>。</w:t>
      </w:r>
    </w:p>
    <w:p w14:paraId="763882DD">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hint="eastAsia" w:ascii="仿宋" w:hAnsi="仿宋" w:eastAsia="仿宋" w:cs="仿宋"/>
          <w:sz w:val="28"/>
          <w:szCs w:val="28"/>
        </w:rPr>
      </w:pPr>
      <w:r>
        <w:rPr>
          <w:rFonts w:hint="eastAsia" w:ascii="仿宋" w:hAnsi="仿宋" w:eastAsia="仿宋" w:cs="仿宋"/>
          <w:sz w:val="28"/>
          <w:szCs w:val="28"/>
        </w:rPr>
        <w:t>根据《中华人民共和国行政处罚法》第四十四条、四十五条的规定，</w:t>
      </w:r>
      <w:r>
        <w:rPr>
          <w:rFonts w:hint="eastAsia" w:ascii="仿宋" w:hAnsi="仿宋" w:eastAsia="仿宋" w:cs="仿宋"/>
          <w:sz w:val="28"/>
          <w:szCs w:val="28"/>
          <w:lang w:eastAsia="zh-CN"/>
        </w:rPr>
        <w:t>你</w:t>
      </w:r>
      <w:r>
        <w:rPr>
          <w:rFonts w:hint="eastAsia" w:ascii="仿宋" w:hAnsi="仿宋" w:eastAsia="仿宋" w:cs="仿宋"/>
          <w:strike/>
          <w:dstrike w:val="0"/>
          <w:sz w:val="28"/>
          <w:szCs w:val="28"/>
          <w:lang w:eastAsia="zh-CN"/>
        </w:rPr>
        <w:t>（单位）</w:t>
      </w:r>
      <w:r>
        <w:rPr>
          <w:rFonts w:hint="eastAsia" w:ascii="仿宋" w:hAnsi="仿宋" w:eastAsia="仿宋"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5186A71E">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hint="eastAsia" w:ascii="仿宋" w:hAnsi="仿宋" w:eastAsia="仿宋" w:cs="仿宋"/>
          <w:sz w:val="28"/>
          <w:szCs w:val="28"/>
        </w:rPr>
      </w:pPr>
    </w:p>
    <w:p w14:paraId="793A0857">
      <w:pPr>
        <w:keepNext w:val="0"/>
        <w:keepLines w:val="0"/>
        <w:pageBreakBefore w:val="0"/>
        <w:widowControl w:val="0"/>
        <w:kinsoku/>
        <w:wordWrap/>
        <w:overflowPunct/>
        <w:topLinePunct w:val="0"/>
        <w:autoSpaceDE/>
        <w:autoSpaceDN/>
        <w:bidi w:val="0"/>
        <w:adjustRightInd/>
        <w:snapToGrid/>
        <w:spacing w:line="400" w:lineRule="exact"/>
        <w:ind w:firstLine="548" w:firstLineChars="196"/>
        <w:jc w:val="left"/>
        <w:textAlignment w:val="auto"/>
        <w:rPr>
          <w:rFonts w:hint="eastAsia" w:ascii="仿宋" w:hAnsi="仿宋" w:eastAsia="仿宋" w:cs="仿宋"/>
          <w:sz w:val="28"/>
          <w:szCs w:val="28"/>
        </w:rPr>
      </w:pPr>
    </w:p>
    <w:p w14:paraId="6D9C5705">
      <w:pPr>
        <w:keepNext w:val="0"/>
        <w:keepLines w:val="0"/>
        <w:pageBreakBefore w:val="0"/>
        <w:widowControl w:val="0"/>
        <w:kinsoku/>
        <w:wordWrap/>
        <w:overflowPunct w:val="0"/>
        <w:topLinePunct w:val="0"/>
        <w:autoSpaceDE/>
        <w:autoSpaceDN/>
        <w:bidi w:val="0"/>
        <w:adjustRightInd w:val="0"/>
        <w:snapToGrid w:val="0"/>
        <w:spacing w:line="400" w:lineRule="exact"/>
        <w:ind w:firstLine="534" w:firstLineChars="191"/>
        <w:jc w:val="left"/>
        <w:textAlignment w:val="auto"/>
        <w:rPr>
          <w:rFonts w:eastAsia="仿宋_GB2312"/>
          <w:sz w:val="28"/>
          <w:szCs w:val="28"/>
        </w:rPr>
      </w:pPr>
      <w:r>
        <w:rPr>
          <w:rFonts w:eastAsia="仿宋_GB2312"/>
          <w:sz w:val="28"/>
          <w:szCs w:val="28"/>
        </w:rPr>
        <w:t>联 系 人：</w:t>
      </w:r>
      <w:r>
        <w:rPr>
          <w:rFonts w:eastAsia="仿宋_GB2312"/>
          <w:color w:val="060606"/>
          <w:sz w:val="28"/>
          <w:szCs w:val="28"/>
          <w:u w:val="single"/>
        </w:rPr>
        <w:t xml:space="preserve"> </w:t>
      </w:r>
      <w:r>
        <w:rPr>
          <w:rFonts w:hint="eastAsia" w:eastAsia="仿宋_GB2312"/>
          <w:color w:val="060606"/>
          <w:sz w:val="28"/>
          <w:szCs w:val="28"/>
          <w:u w:val="single"/>
          <w:lang w:eastAsia="zh-CN"/>
        </w:rPr>
        <w:t>两违中队</w:t>
      </w:r>
      <w:r>
        <w:rPr>
          <w:rFonts w:hint="eastAsia" w:eastAsia="仿宋_GB2312"/>
          <w:color w:val="060606"/>
          <w:sz w:val="28"/>
          <w:szCs w:val="28"/>
          <w:u w:val="single"/>
        </w:rPr>
        <w:t xml:space="preserve"> </w:t>
      </w:r>
      <w:r>
        <w:rPr>
          <w:rFonts w:hint="eastAsia" w:eastAsia="仿宋_GB2312"/>
          <w:color w:val="060606"/>
          <w:sz w:val="28"/>
          <w:szCs w:val="28"/>
          <w:u w:val="single"/>
          <w:lang w:val="en-US" w:eastAsia="zh-CN"/>
        </w:rPr>
        <w:t>陆庆恒、郑美欣</w:t>
      </w:r>
      <w:r>
        <w:rPr>
          <w:rFonts w:hint="eastAsia" w:eastAsia="仿宋_GB2312"/>
          <w:color w:val="060606"/>
          <w:sz w:val="28"/>
          <w:szCs w:val="28"/>
        </w:rPr>
        <w:t xml:space="preserve">      </w:t>
      </w:r>
      <w:r>
        <w:rPr>
          <w:rFonts w:eastAsia="仿宋_GB2312"/>
          <w:sz w:val="28"/>
          <w:szCs w:val="28"/>
        </w:rPr>
        <w:t>联系电话：</w:t>
      </w:r>
      <w:r>
        <w:rPr>
          <w:rFonts w:hint="eastAsia" w:eastAsia="仿宋_GB2312"/>
          <w:sz w:val="28"/>
          <w:szCs w:val="28"/>
          <w:u w:val="single"/>
        </w:rPr>
        <w:t xml:space="preserve"> </w:t>
      </w:r>
      <w:r>
        <w:rPr>
          <w:rFonts w:hint="eastAsia" w:eastAsia="仿宋_GB2312"/>
          <w:color w:val="060606"/>
          <w:sz w:val="28"/>
          <w:szCs w:val="28"/>
          <w:u w:val="single"/>
          <w:lang w:eastAsia="zh-CN"/>
        </w:rPr>
        <w:t>15577775801</w:t>
      </w:r>
      <w:r>
        <w:rPr>
          <w:rFonts w:hint="eastAsia" w:eastAsia="仿宋_GB2312"/>
          <w:color w:val="060606"/>
          <w:sz w:val="28"/>
          <w:szCs w:val="28"/>
          <w:u w:val="single"/>
        </w:rPr>
        <w:t xml:space="preserve"> </w:t>
      </w:r>
    </w:p>
    <w:p w14:paraId="4B2E98F0">
      <w:pPr>
        <w:keepNext w:val="0"/>
        <w:keepLines w:val="0"/>
        <w:pageBreakBefore w:val="0"/>
        <w:widowControl w:val="0"/>
        <w:kinsoku/>
        <w:wordWrap/>
        <w:overflowPunct w:val="0"/>
        <w:topLinePunct w:val="0"/>
        <w:autoSpaceDE/>
        <w:autoSpaceDN/>
        <w:bidi w:val="0"/>
        <w:adjustRightInd w:val="0"/>
        <w:snapToGrid w:val="0"/>
        <w:spacing w:line="400" w:lineRule="exact"/>
        <w:ind w:firstLine="534" w:firstLineChars="191"/>
        <w:jc w:val="left"/>
        <w:textAlignment w:val="auto"/>
        <w:rPr>
          <w:rFonts w:eastAsia="仿宋_GB2312"/>
          <w:sz w:val="28"/>
          <w:szCs w:val="28"/>
        </w:rPr>
      </w:pPr>
      <w:r>
        <w:rPr>
          <w:rFonts w:eastAsia="仿宋_GB2312"/>
          <w:sz w:val="28"/>
          <w:szCs w:val="28"/>
        </w:rPr>
        <w:t>联系地址：</w:t>
      </w:r>
      <w:r>
        <w:rPr>
          <w:rFonts w:eastAsia="仿宋_GB2312"/>
          <w:color w:val="060606"/>
          <w:sz w:val="28"/>
          <w:szCs w:val="28"/>
          <w:u w:val="single"/>
        </w:rPr>
        <w:t xml:space="preserve"> </w:t>
      </w:r>
      <w:r>
        <w:rPr>
          <w:rFonts w:hint="eastAsia" w:eastAsia="仿宋_GB2312"/>
          <w:color w:val="060606"/>
          <w:sz w:val="28"/>
          <w:szCs w:val="28"/>
          <w:u w:val="single"/>
          <w:lang w:eastAsia="zh-CN"/>
        </w:rPr>
        <w:t>柳石路394号</w:t>
      </w:r>
      <w:r>
        <w:rPr>
          <w:rFonts w:hint="eastAsia" w:eastAsia="仿宋_GB2312"/>
          <w:color w:val="060606"/>
          <w:sz w:val="28"/>
          <w:szCs w:val="28"/>
          <w:u w:val="single"/>
        </w:rPr>
        <w:t xml:space="preserve"> </w:t>
      </w:r>
    </w:p>
    <w:p w14:paraId="5833DE89">
      <w:pPr>
        <w:keepNext w:val="0"/>
        <w:keepLines w:val="0"/>
        <w:pageBreakBefore w:val="0"/>
        <w:widowControl w:val="0"/>
        <w:kinsoku/>
        <w:wordWrap/>
        <w:topLinePunct w:val="0"/>
        <w:autoSpaceDE/>
        <w:autoSpaceDN/>
        <w:bidi w:val="0"/>
        <w:spacing w:line="400" w:lineRule="exact"/>
        <w:jc w:val="left"/>
        <w:textAlignment w:val="auto"/>
        <w:rPr>
          <w:rFonts w:hint="eastAsia" w:ascii="仿宋_GB2312" w:hAnsi="仿宋_GB2312" w:eastAsia="仿宋_GB2312" w:cs="仿宋_GB2312"/>
          <w:sz w:val="28"/>
          <w:szCs w:val="28"/>
        </w:rPr>
      </w:pPr>
    </w:p>
    <w:p w14:paraId="2251DF50">
      <w:pPr>
        <w:keepNext w:val="0"/>
        <w:keepLines w:val="0"/>
        <w:pageBreakBefore w:val="0"/>
        <w:widowControl w:val="0"/>
        <w:kinsoku/>
        <w:wordWrap/>
        <w:topLinePunct w:val="0"/>
        <w:autoSpaceDE/>
        <w:autoSpaceDN/>
        <w:bidi w:val="0"/>
        <w:spacing w:line="400" w:lineRule="exact"/>
        <w:jc w:val="righ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柳州市</w:t>
      </w:r>
      <w:r>
        <w:rPr>
          <w:rFonts w:hint="eastAsia" w:ascii="仿宋_GB2312" w:hAnsi="仿宋_GB2312" w:eastAsia="仿宋_GB2312" w:cs="仿宋_GB2312"/>
          <w:sz w:val="28"/>
          <w:szCs w:val="28"/>
          <w:lang w:eastAsia="zh-CN"/>
        </w:rPr>
        <w:t>鱼峰区综合行政执法局</w:t>
      </w:r>
    </w:p>
    <w:p w14:paraId="70F267BA">
      <w:pPr>
        <w:keepNext w:val="0"/>
        <w:keepLines w:val="0"/>
        <w:pageBreakBefore w:val="0"/>
        <w:widowControl w:val="0"/>
        <w:kinsoku/>
        <w:wordWrap/>
        <w:overflowPunct w:val="0"/>
        <w:topLinePunct w:val="0"/>
        <w:autoSpaceDE/>
        <w:autoSpaceDN/>
        <w:bidi w:val="0"/>
        <w:snapToGrid w:val="0"/>
        <w:spacing w:after="145" w:line="400" w:lineRule="exact"/>
        <w:ind w:firstLine="605"/>
        <w:jc w:val="left"/>
        <w:textAlignment w:val="auto"/>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二0二五</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十九</w:t>
      </w:r>
      <w:r>
        <w:rPr>
          <w:rFonts w:hint="eastAsia" w:ascii="仿宋_GB2312" w:hAnsi="仿宋_GB2312" w:eastAsia="仿宋_GB2312" w:cs="仿宋_GB2312"/>
          <w:sz w:val="28"/>
          <w:szCs w:val="28"/>
        </w:rPr>
        <w:t>日</w:t>
      </w:r>
    </w:p>
    <w:p w14:paraId="6CEAF1E2">
      <w:pPr>
        <w:keepNext w:val="0"/>
        <w:keepLines w:val="0"/>
        <w:pageBreakBefore w:val="0"/>
        <w:widowControl w:val="0"/>
        <w:kinsoku/>
        <w:wordWrap/>
        <w:overflowPunct w:val="0"/>
        <w:topLinePunct w:val="0"/>
        <w:autoSpaceDE/>
        <w:autoSpaceDN/>
        <w:bidi w:val="0"/>
        <w:snapToGrid w:val="0"/>
        <w:spacing w:after="145" w:line="400" w:lineRule="exact"/>
        <w:ind w:firstLine="605"/>
        <w:jc w:val="left"/>
        <w:textAlignment w:val="auto"/>
        <w:outlineLvl w:val="0"/>
        <w:rPr>
          <w:rFonts w:hint="eastAsia" w:ascii="仿宋_GB2312" w:hAnsi="仿宋_GB2312" w:eastAsia="仿宋_GB2312" w:cs="仿宋_GB2312"/>
          <w:sz w:val="28"/>
          <w:szCs w:val="28"/>
        </w:rPr>
      </w:pPr>
      <w:bookmarkStart w:id="0" w:name="_GoBack"/>
      <w:bookmarkEnd w:id="0"/>
    </w:p>
    <w:p w14:paraId="44DE53F4">
      <w:pPr>
        <w:keepNext w:val="0"/>
        <w:keepLines w:val="0"/>
        <w:pageBreakBefore w:val="0"/>
        <w:widowControl w:val="0"/>
        <w:kinsoku/>
        <w:wordWrap/>
        <w:topLinePunct w:val="0"/>
        <w:autoSpaceDE/>
        <w:autoSpaceDN/>
        <w:bidi w:val="0"/>
        <w:adjustRightInd/>
        <w:spacing w:line="220" w:lineRule="exact"/>
        <w:ind w:firstLine="560" w:firstLineChars="200"/>
        <w:textAlignment w:val="auto"/>
        <w:rPr>
          <w:rFonts w:hint="eastAsia" w:ascii="仿宋_GB2312" w:hAnsi="仿宋" w:eastAsia="仿宋_GB2312" w:cs="宋体"/>
          <w:kern w:val="0"/>
          <w:sz w:val="24"/>
          <w:lang w:eastAsia="zh-CN"/>
        </w:rPr>
      </w:pPr>
      <w:r>
        <w:rPr>
          <w:rFonts w:hint="eastAsia" w:eastAsia="仿宋_GB2312"/>
          <w:sz w:val="28"/>
          <w:szCs w:val="28"/>
        </w:rPr>
        <w:t>附：《住宅室内装饰装修管理办法》</w:t>
      </w:r>
    </w:p>
    <w:p w14:paraId="721BA3B1">
      <w:pPr>
        <w:keepNext w:val="0"/>
        <w:keepLines w:val="0"/>
        <w:pageBreakBefore w:val="0"/>
        <w:widowControl w:val="0"/>
        <w:kinsoku/>
        <w:wordWrap/>
        <w:overflowPunct w:val="0"/>
        <w:topLinePunct w:val="0"/>
        <w:autoSpaceDE/>
        <w:autoSpaceDN/>
        <w:bidi w:val="0"/>
        <w:adjustRightInd/>
        <w:snapToGrid w:val="0"/>
        <w:spacing w:line="220" w:lineRule="exact"/>
        <w:ind w:firstLine="482" w:firstLineChars="200"/>
        <w:jc w:val="left"/>
        <w:textAlignment w:val="auto"/>
        <w:rPr>
          <w:rFonts w:hint="eastAsia" w:ascii="仿宋_GB2312" w:hAnsi="仿宋" w:eastAsia="仿宋_GB2312" w:cs="宋体"/>
          <w:kern w:val="0"/>
          <w:sz w:val="24"/>
          <w:lang w:eastAsia="zh-CN"/>
        </w:rPr>
      </w:pPr>
      <w:r>
        <w:rPr>
          <w:rFonts w:hint="eastAsia" w:ascii="仿宋_GB2312" w:hAnsi="仿宋_GB2312" w:eastAsia="仿宋_GB2312" w:cs="仿宋_GB2312"/>
          <w:b/>
          <w:bCs/>
          <w:sz w:val="24"/>
        </w:rPr>
        <w:t xml:space="preserve">第六条第一款第（二）项  </w:t>
      </w:r>
      <w:r>
        <w:rPr>
          <w:rFonts w:hint="eastAsia" w:ascii="仿宋_GB2312" w:hAnsi="仿宋" w:eastAsia="仿宋_GB2312" w:cs="宋体"/>
          <w:kern w:val="0"/>
          <w:sz w:val="24"/>
        </w:rPr>
        <w:t>改变住宅外立面，在非承重外墙上开门、窗</w:t>
      </w:r>
      <w:r>
        <w:rPr>
          <w:rFonts w:hint="eastAsia" w:ascii="仿宋_GB2312" w:hAnsi="仿宋" w:eastAsia="仿宋_GB2312" w:cs="宋体"/>
          <w:kern w:val="0"/>
          <w:sz w:val="24"/>
          <w:lang w:eastAsia="zh-CN"/>
        </w:rPr>
        <w:t>。</w:t>
      </w:r>
    </w:p>
    <w:p w14:paraId="553B3014">
      <w:pPr>
        <w:keepNext w:val="0"/>
        <w:keepLines w:val="0"/>
        <w:pageBreakBefore w:val="0"/>
        <w:widowControl w:val="0"/>
        <w:kinsoku/>
        <w:wordWrap/>
        <w:overflowPunct w:val="0"/>
        <w:topLinePunct w:val="0"/>
        <w:autoSpaceDE/>
        <w:autoSpaceDN/>
        <w:bidi w:val="0"/>
        <w:adjustRightInd/>
        <w:snapToGrid w:val="0"/>
        <w:spacing w:line="220" w:lineRule="exact"/>
        <w:ind w:firstLine="482" w:firstLineChars="200"/>
        <w:jc w:val="left"/>
        <w:textAlignment w:val="auto"/>
        <w:rPr>
          <w:rFonts w:hint="eastAsia" w:ascii="仿宋_GB2312" w:hAnsi="仿宋" w:eastAsia="仿宋_GB2312" w:cs="宋体"/>
          <w:kern w:val="0"/>
          <w:sz w:val="24"/>
        </w:rPr>
      </w:pPr>
      <w:r>
        <w:rPr>
          <w:rFonts w:hint="eastAsia" w:ascii="仿宋_GB2312" w:hAnsi="仿宋" w:eastAsia="仿宋_GB2312" w:cs="宋体"/>
          <w:b/>
          <w:kern w:val="0"/>
          <w:sz w:val="24"/>
        </w:rPr>
        <w:t xml:space="preserve">第三十九条 </w:t>
      </w:r>
      <w:r>
        <w:rPr>
          <w:rFonts w:hint="eastAsia" w:ascii="仿宋_GB2312" w:hAnsi="仿宋" w:eastAsia="仿宋_GB2312" w:cs="宋体"/>
          <w:kern w:val="0"/>
          <w:sz w:val="24"/>
        </w:rPr>
        <w:t xml:space="preserve"> 未经城市规划行政主管部门批准，在住宅室内装饰装修活动中搭建建筑物、构筑物的，或者擅自改变住宅外立面、在非承重外墙上开门、窗的，由城市规划行政主管部门按照《中华人民共和国城乡规划法》及相关法规的规定处罚。</w:t>
      </w:r>
    </w:p>
    <w:p w14:paraId="5E844B04">
      <w:pPr>
        <w:keepNext w:val="0"/>
        <w:keepLines w:val="0"/>
        <w:pageBreakBefore w:val="0"/>
        <w:widowControl w:val="0"/>
        <w:kinsoku/>
        <w:wordWrap/>
        <w:overflowPunct w:val="0"/>
        <w:topLinePunct w:val="0"/>
        <w:autoSpaceDE/>
        <w:autoSpaceDN/>
        <w:bidi w:val="0"/>
        <w:adjustRightInd/>
        <w:snapToGrid w:val="0"/>
        <w:spacing w:line="220" w:lineRule="exact"/>
        <w:ind w:firstLine="560" w:firstLineChars="200"/>
        <w:jc w:val="left"/>
        <w:textAlignment w:val="auto"/>
        <w:rPr>
          <w:rFonts w:eastAsia="仿宋_GB2312"/>
          <w:color w:val="0000FF"/>
          <w:sz w:val="28"/>
          <w:szCs w:val="28"/>
        </w:rPr>
      </w:pPr>
      <w:r>
        <w:rPr>
          <w:rFonts w:hint="eastAsia" w:eastAsia="仿宋_GB2312"/>
          <w:sz w:val="28"/>
          <w:szCs w:val="28"/>
        </w:rPr>
        <w:t>《中华人民共和国城乡规划法》</w:t>
      </w:r>
    </w:p>
    <w:p w14:paraId="475472E3">
      <w:pPr>
        <w:keepNext w:val="0"/>
        <w:keepLines w:val="0"/>
        <w:pageBreakBefore w:val="0"/>
        <w:widowControl w:val="0"/>
        <w:kinsoku/>
        <w:wordWrap/>
        <w:topLinePunct w:val="0"/>
        <w:autoSpaceDE/>
        <w:autoSpaceDN/>
        <w:bidi w:val="0"/>
        <w:adjustRightInd/>
        <w:spacing w:line="220" w:lineRule="exact"/>
        <w:ind w:firstLine="482" w:firstLineChars="200"/>
        <w:textAlignment w:val="auto"/>
        <w:rPr>
          <w:rFonts w:hint="eastAsia"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0A007FC3">
      <w:pPr>
        <w:keepNext w:val="0"/>
        <w:keepLines w:val="0"/>
        <w:pageBreakBefore w:val="0"/>
        <w:widowControl w:val="0"/>
        <w:kinsoku/>
        <w:wordWrap/>
        <w:overflowPunct w:val="0"/>
        <w:topLinePunct w:val="0"/>
        <w:autoSpaceDE/>
        <w:autoSpaceDN/>
        <w:bidi w:val="0"/>
        <w:adjustRightInd/>
        <w:snapToGrid w:val="0"/>
        <w:spacing w:line="220" w:lineRule="exact"/>
        <w:ind w:firstLine="482" w:firstLineChars="200"/>
        <w:jc w:val="left"/>
        <w:textAlignment w:val="auto"/>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E72D9AA">
      <w:pPr>
        <w:spacing w:line="200" w:lineRule="exact"/>
        <w:jc w:val="left"/>
        <w:rPr>
          <w:rFonts w:eastAsia="仿宋_GB2312"/>
          <w:sz w:val="28"/>
          <w:szCs w:val="28"/>
        </w:rPr>
      </w:pPr>
    </w:p>
    <w:p w14:paraId="7A4C4850">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38FBC213">
      <w:pPr>
        <w:overflowPunct w:val="0"/>
        <w:snapToGrid w:val="0"/>
        <w:spacing w:after="312" w:afterLines="100" w:line="520" w:lineRule="exact"/>
        <w:jc w:val="right"/>
        <w:rPr>
          <w:rFonts w:hint="eastAsia" w:ascii="仿宋_GB2312" w:eastAsia="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E65475F"/>
    <w:rsid w:val="15782B08"/>
    <w:rsid w:val="15B371AA"/>
    <w:rsid w:val="1D605BC2"/>
    <w:rsid w:val="2817622A"/>
    <w:rsid w:val="2A0E468C"/>
    <w:rsid w:val="2AA45E84"/>
    <w:rsid w:val="3DB47ECB"/>
    <w:rsid w:val="4F0679B3"/>
    <w:rsid w:val="4F5E0042"/>
    <w:rsid w:val="52600697"/>
    <w:rsid w:val="53083888"/>
    <w:rsid w:val="57126742"/>
    <w:rsid w:val="61EF0A70"/>
    <w:rsid w:val="7A587B47"/>
    <w:rsid w:val="7F682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937</Words>
  <Characters>966</Characters>
  <Lines>0</Lines>
  <Paragraphs>0</Paragraphs>
  <TotalTime>1</TotalTime>
  <ScaleCrop>false</ScaleCrop>
  <LinksUpToDate>false</LinksUpToDate>
  <CharactersWithSpaces>1148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2025-12-19T10:00:04Z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00080C46CA8E4B458E3D20B7DACE0B23_13</vt:lpwstr>
  </property>
  <property fmtid="{D5CDD505-2E9C-101B-9397-08002B2CF9AE}" pid="4" name="KSOTemplateDocerSaveRecord">
    <vt:lpwstr>eyJoZGlkIjoiMjRjMmIwN2JhY2U2OGYwZDk1MzkyNTcwZTk0ZTdlY2IiLCJ1c2VySWQiOiIyOTI2NjkwNzAifQ==</vt:lpwstr>
  </property>
</Properties>
</file>