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A435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35890EA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责令限期拆除决定书</w:t>
      </w:r>
    </w:p>
    <w:p w14:paraId="7E6C8C8E">
      <w:pPr>
        <w:spacing w:line="560" w:lineRule="exact"/>
        <w:jc w:val="center"/>
        <w:rPr>
          <w:rFonts w:ascii="仿宋_GB2312" w:hAnsi="仿宋" w:eastAsia="仿宋_GB2312" w:cs="仿宋"/>
          <w:spacing w:val="8"/>
          <w:kern w:val="0"/>
          <w:sz w:val="28"/>
          <w:szCs w:val="28"/>
        </w:rPr>
      </w:pPr>
      <w:r>
        <w:rPr>
          <w:rFonts w:hint="eastAsia" w:ascii="仿宋_GB2312" w:eastAsia="仿宋_GB2312"/>
          <w:sz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柳鱼峰综执</w:t>
      </w:r>
      <w:r>
        <w:rPr>
          <w:rFonts w:hint="eastAsia" w:ascii="仿宋_GB2312" w:hAnsi="仿宋" w:eastAsia="仿宋_GB2312" w:cs="仿宋"/>
          <w:sz w:val="28"/>
          <w:szCs w:val="28"/>
        </w:rPr>
        <w:t>责拆决字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〔2025〕第26073号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</w:t>
      </w:r>
    </w:p>
    <w:p w14:paraId="264334DC">
      <w:pPr>
        <w:spacing w:line="440" w:lineRule="exact"/>
        <w:rPr>
          <w:rFonts w:ascii="仿宋_GB2312" w:eastAsia="仿宋_GB2312"/>
          <w:bCs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当事人：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韦永贵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 xml:space="preserve">        </w:t>
      </w:r>
    </w:p>
    <w:p w14:paraId="5DCC585A">
      <w:pPr>
        <w:spacing w:line="440" w:lineRule="exact"/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</w:rPr>
        <w:t>地  址：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  <w:lang w:eastAsia="zh-CN"/>
        </w:rPr>
        <w:t>柳石路364号增鑫二区7栋3单元6-1</w:t>
      </w:r>
    </w:p>
    <w:p w14:paraId="1E0861DE">
      <w:pPr>
        <w:overflowPunct w:val="0"/>
        <w:adjustRightInd w:val="0"/>
        <w:snapToGrid w:val="0"/>
        <w:spacing w:before="290" w:line="44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韦永贵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>：</w:t>
      </w:r>
    </w:p>
    <w:p w14:paraId="5175C24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《中华人民共和国行政处罚法》第五十四条的规定，本机关于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6月30日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对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涉嫌未取得建设工程规划许可证进行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建设钢架棚的行为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予以立案调查。</w:t>
      </w:r>
    </w:p>
    <w:p w14:paraId="383ADDA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经查明，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6月30日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发现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取得建设工程规划许可证在</w:t>
      </w:r>
      <w:r>
        <w:rPr>
          <w:rFonts w:hint="eastAsia" w:ascii="仿宋_GB2312" w:eastAsia="仿宋_GB2312"/>
          <w:sz w:val="28"/>
          <w:u w:val="single"/>
          <w:lang w:eastAsia="zh-CN"/>
        </w:rPr>
        <w:t>柳石路364号增鑫二区7栋3单元6-1、6-2楼顶建设一层钢架棚二处</w:t>
      </w:r>
      <w:r>
        <w:rPr>
          <w:rFonts w:hint="eastAsia" w:ascii="仿宋_GB2312" w:eastAsia="仿宋_GB2312"/>
          <w:sz w:val="28"/>
          <w:u w:val="single"/>
        </w:rPr>
        <w:t>（建设面积合计为</w:t>
      </w:r>
      <w:r>
        <w:rPr>
          <w:rFonts w:hint="eastAsia" w:ascii="仿宋_GB2312" w:eastAsia="仿宋_GB2312"/>
          <w:sz w:val="28"/>
          <w:u w:val="single"/>
          <w:lang w:eastAsia="zh-CN"/>
        </w:rPr>
        <w:t>56.94平方米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造成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轻微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影响后果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</w:rPr>
        <w:t>。</w:t>
      </w:r>
    </w:p>
    <w:p w14:paraId="7E2354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上述事实，由以下证据证实：</w:t>
      </w:r>
    </w:p>
    <w:p w14:paraId="721BEE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现场勘验笔录及现场照片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违法建筑的具体情况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20CA142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证据二：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案件调查笔录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违法建设行为人及建设情况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；</w:t>
      </w:r>
    </w:p>
    <w:p w14:paraId="42CD99F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证据三：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见证人身份证明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见证人的身份信息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；</w:t>
      </w:r>
    </w:p>
    <w:p w14:paraId="59FEC89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eastAsia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证据四：</w:t>
      </w:r>
      <w:r>
        <w:rPr>
          <w:rFonts w:hint="eastAsia" w:eastAsia="仿宋_GB2312"/>
          <w:sz w:val="28"/>
          <w:szCs w:val="28"/>
          <w:u w:val="single"/>
          <w:lang w:eastAsia="zh-CN"/>
        </w:rPr>
        <w:t>柳州市不动产查档结果证明书、柳州农用运输车总厂留守组证明书</w:t>
      </w:r>
      <w:r>
        <w:rPr>
          <w:rFonts w:hint="eastAsia" w:eastAsia="仿宋_GB2312"/>
          <w:sz w:val="28"/>
          <w:szCs w:val="28"/>
          <w:u w:val="none"/>
          <w:lang w:eastAsia="zh-CN"/>
        </w:rPr>
        <w:t>，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证明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当事人的身份及房屋权属</w:t>
      </w:r>
      <w:r>
        <w:rPr>
          <w:rFonts w:hint="eastAsia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；</w:t>
      </w:r>
    </w:p>
    <w:p w14:paraId="117E9D9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default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证据五：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《责令改正违法行为通知书》、《责令改正情况复查记录》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，证明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当事人逾期未改正违法行为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；</w:t>
      </w:r>
    </w:p>
    <w:p w14:paraId="689484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17" w:leftChars="8" w:right="0" w:firstLine="618" w:firstLineChars="221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eastAsia="仿宋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行政处罚意见书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违法建设部分和违法建设面积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198E9C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17" w:leftChars="8" w:right="28" w:firstLine="618" w:firstLineChars="221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eastAsia" w:eastAsia="仿宋_GB2312" w:cs="Times New Roman"/>
          <w:color w:val="000000"/>
          <w:sz w:val="28"/>
          <w:szCs w:val="28"/>
          <w:highlight w:val="none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视听取证文书及光碟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查处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经过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。</w:t>
      </w:r>
    </w:p>
    <w:p w14:paraId="0206362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202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，本机关依法向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送达了《责令限期拆除告知书》（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柳鱼峰综执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责拆告字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26073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号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），告知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拟作出行政处罚决定的事实、理由、依据及内容，并告知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依法享有的权利。</w:t>
      </w:r>
    </w:p>
    <w:p w14:paraId="06AD87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/>
          <w:dstrike w:val="0"/>
          <w:color w:val="auto"/>
          <w:sz w:val="28"/>
          <w:szCs w:val="28"/>
          <w:u w:val="none"/>
        </w:rPr>
        <w:t>（单位）</w:t>
      </w:r>
      <w:r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  <w:t>在规定期限内未提出陈述、申辩要求。</w:t>
      </w:r>
    </w:p>
    <w:p w14:paraId="2245C8E1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ind w:firstLine="48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本机关认为，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未取得建设工程规划许可证在</w:t>
      </w:r>
      <w:r>
        <w:rPr>
          <w:rFonts w:hint="eastAsia" w:ascii="仿宋_GB2312" w:eastAsia="仿宋_GB2312"/>
          <w:sz w:val="28"/>
          <w:u w:val="single"/>
          <w:lang w:eastAsia="zh-CN"/>
        </w:rPr>
        <w:t>柳石路364号增鑫二区7栋3单元6-1、6-2楼顶建设一层钢架棚二处</w:t>
      </w:r>
      <w:r>
        <w:rPr>
          <w:rFonts w:hint="eastAsia" w:ascii="仿宋_GB2312" w:eastAsia="仿宋_GB2312"/>
          <w:sz w:val="28"/>
          <w:u w:val="single"/>
        </w:rPr>
        <w:t>（建设面积合计为</w:t>
      </w:r>
      <w:r>
        <w:rPr>
          <w:rFonts w:hint="eastAsia" w:ascii="仿宋_GB2312" w:eastAsia="仿宋_GB2312"/>
          <w:sz w:val="28"/>
          <w:u w:val="single"/>
          <w:lang w:eastAsia="zh-CN"/>
        </w:rPr>
        <w:t>56.94平方米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，违</w:t>
      </w:r>
    </w:p>
    <w:p w14:paraId="4A265CF1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ind w:firstLine="480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第1页 共2页</w:t>
      </w:r>
    </w:p>
    <w:p w14:paraId="7DDE7F42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反了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《中华人民共和国城乡规划法》第四十条第一款的规定，依据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未取得建设工程规划许可证或者未</w:t>
      </w:r>
    </w:p>
    <w:p w14:paraId="3A668EA8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按照建设工程规划许可证的规定进行建设的，由县级以上地方人民政府城乡规</w:t>
      </w:r>
    </w:p>
    <w:p w14:paraId="37BB0D8F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jc w:val="both"/>
        <w:textAlignment w:val="auto"/>
        <w:rPr>
          <w:rFonts w:hint="default" w:ascii="Times New Roman" w:hAnsi="Times New Roman" w:eastAsia="宋体" w:cs="Times New Roman"/>
          <w:color w:val="FF0000"/>
          <w:kern w:val="0"/>
          <w:szCs w:val="21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划主管部门责令停止建设；尚可采取改正措施消除对规划实施的影响的，限期改正，处建设工程造价百分之五以上百分之十以下的罚款；无法采取改正措施消除影响的，限期拆除，不能拆除的，没收实物或者违法收入，可以并处建设工程造价百分之十以下的罚款。</w:t>
      </w:r>
    </w:p>
    <w:p w14:paraId="3C3132B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鉴于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违法建筑面积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合计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为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56.94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平方米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且逾期未改正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eastAsia" w:eastAsia="仿宋_GB2312" w:cs="Times New Roman"/>
          <w:color w:val="000000"/>
          <w:sz w:val="28"/>
          <w:szCs w:val="28"/>
          <w:lang w:val="en-US" w:eastAsia="zh-CN"/>
        </w:rPr>
        <w:t>对照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《广西住房城乡建设行政处罚自由裁量基准（2023版）》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（《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中华人民共和国城乡规划法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》</w:t>
      </w:r>
      <w:r>
        <w:rPr>
          <w:rFonts w:hint="eastAsia" w:eastAsia="仿宋_GB2312" w:cs="Times New Roman"/>
          <w:color w:val="000000"/>
          <w:sz w:val="28"/>
          <w:szCs w:val="28"/>
          <w:u w:val="none"/>
          <w:lang w:val="en-US" w:eastAsia="zh-CN"/>
        </w:rPr>
        <w:t>C101.64.2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违法建筑面积在三百平方米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以下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属于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轻微违法情节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，责令停止建设，限期拆除，不能拆除的，没收实物或者违法收入，可以并处违法建筑整体建设工程造价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%以上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%以下的罚款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本机关决定对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作出如下决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定：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5E7EE89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履行的方式和期限：自收到本决定书之日起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47604D04">
      <w:pPr>
        <w:overflowPunct w:val="0"/>
        <w:adjustRightInd w:val="0"/>
        <w:snapToGrid w:val="0"/>
        <w:spacing w:line="400" w:lineRule="exact"/>
        <w:ind w:firstLine="534" w:firstLineChars="191"/>
        <w:jc w:val="left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申请行政复议；也可以在收到本决定书之日起6个月内直接向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  <w:lang w:val="en-US" w:eastAsia="zh-CN"/>
        </w:rPr>
        <w:t>柳州市柳南区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人民法院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起诉，但本决定不停止执行，法律另有规定的除外。逾期不申请行政复议、不提起行政诉讼又不履行的，本机关将依法申请人民法院强制执行或者依照有关规定强制执行</w:t>
      </w:r>
      <w:r>
        <w:rPr>
          <w:rFonts w:hint="eastAsia" w:ascii="仿宋_GB2312" w:hAnsi="仿宋" w:eastAsia="仿宋_GB2312" w:cs="仿宋"/>
          <w:sz w:val="28"/>
          <w:szCs w:val="28"/>
        </w:rPr>
        <w:t>。</w:t>
      </w:r>
    </w:p>
    <w:p w14:paraId="1AA66C22">
      <w:pPr>
        <w:pStyle w:val="2"/>
        <w:rPr>
          <w:rFonts w:hint="eastAsia"/>
        </w:rPr>
      </w:pPr>
    </w:p>
    <w:p w14:paraId="1B3CFB99">
      <w:pPr>
        <w:overflowPunct w:val="0"/>
        <w:adjustRightInd w:val="0"/>
        <w:snapToGrid w:val="0"/>
        <w:spacing w:line="400" w:lineRule="exact"/>
        <w:ind w:firstLine="534" w:firstLineChars="191"/>
        <w:jc w:val="lef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val="en-US" w:eastAsia="zh-CN"/>
        </w:rPr>
        <w:t>两违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eastAsia="zh-CN"/>
        </w:rPr>
        <w:t>中队 陆庆恒、郑美欣</w:t>
      </w:r>
      <w:r>
        <w:rPr>
          <w:rFonts w:hint="eastAsia" w:ascii="仿宋_GB2312" w:eastAsia="仿宋_GB2312"/>
          <w:color w:val="060606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color w:val="060606"/>
          <w:sz w:val="28"/>
          <w:szCs w:val="28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15577775801</w:t>
      </w:r>
    </w:p>
    <w:p w14:paraId="14916731">
      <w:pPr>
        <w:spacing w:line="440" w:lineRule="exact"/>
        <w:ind w:firstLine="548" w:firstLineChars="196"/>
        <w:jc w:val="left"/>
        <w:rPr>
          <w:rFonts w:ascii="仿宋_GB2312" w:hAnsi="仿宋" w:eastAsia="仿宋_GB2312" w:cs="仿宋"/>
          <w:bCs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color w:val="060606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eastAsia="zh-CN"/>
        </w:rPr>
        <w:t>柳石路394号</w:t>
      </w:r>
    </w:p>
    <w:p w14:paraId="292AD7BC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</w:p>
    <w:p w14:paraId="71D293B7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</w:p>
    <w:p w14:paraId="2A581A48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柳州市鱼峰区综合行政执法局</w:t>
      </w:r>
    </w:p>
    <w:p w14:paraId="293C32DA">
      <w:pPr>
        <w:overflowPunct w:val="0"/>
        <w:snapToGrid w:val="0"/>
        <w:spacing w:line="32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二0二五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十一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二十四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337EAAE0">
      <w:pPr>
        <w:overflowPunct w:val="0"/>
        <w:snapToGrid w:val="0"/>
        <w:spacing w:line="320" w:lineRule="exac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2AD5B8E">
      <w:pPr>
        <w:widowControl/>
        <w:jc w:val="left"/>
        <w:rPr>
          <w:rFonts w:hint="eastAsia" w:ascii="仿宋_GB2312" w:eastAsia="仿宋_GB2312"/>
          <w:sz w:val="28"/>
          <w:szCs w:val="28"/>
        </w:rPr>
      </w:pPr>
    </w:p>
    <w:p w14:paraId="0AD33D64">
      <w:pPr>
        <w:widowControl/>
        <w:ind w:firstLine="7560" w:firstLineChars="2700"/>
        <w:jc w:val="left"/>
        <w:rPr>
          <w:rFonts w:hint="eastAsia" w:ascii="仿宋_GB2312" w:eastAsia="仿宋_GB2312"/>
          <w:sz w:val="28"/>
          <w:szCs w:val="28"/>
        </w:rPr>
      </w:pPr>
    </w:p>
    <w:p w14:paraId="5D68A136">
      <w:pPr>
        <w:pStyle w:val="3"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-158115</wp:posOffset>
                </wp:positionH>
                <wp:positionV relativeFrom="paragraph">
                  <wp:posOffset>3175</wp:posOffset>
                </wp:positionV>
                <wp:extent cx="6229350" cy="50800"/>
                <wp:effectExtent l="0" t="9525" r="0" b="15875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9350" cy="5080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2.45pt;margin-top:0.25pt;height:4pt;width:490.5pt;z-index:251659264;mso-width-relative:page;mso-height-relative:page;" filled="f" stroked="t" coordsize="21600,21600" o:gfxdata="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uy53vVAAAABgEAAA8AAAAAAAAAAQAgAAAAIgAAAGRycy9kb3ducmV2LnhtbFBLAQIU&#10;ABQAAAAIAIdO4kDo7HY/9gEAAMYDAAAOAAAAAAAAAAEAIAAAACQBAABkcnMvZTJvRG9jLnhtbFBL&#10;BQYAAAAABgAGAFkBAACM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</w:t>
      </w:r>
      <w:r>
        <w:rPr>
          <w:rFonts w:hint="eastAsia" w:ascii="仿宋_GB2312" w:eastAsia="仿宋_GB2312"/>
          <w:sz w:val="28"/>
          <w:szCs w:val="28"/>
        </w:rPr>
        <w:t>联：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交当事人</w:t>
      </w:r>
      <w:r>
        <w:rPr>
          <w:rFonts w:hint="eastAsia" w:ascii="仿宋_GB2312" w:eastAsia="仿宋_GB2312"/>
          <w:sz w:val="28"/>
          <w:szCs w:val="28"/>
        </w:rPr>
        <w:t>（共二联）</w:t>
      </w:r>
    </w:p>
    <w:p w14:paraId="38FBC213">
      <w:pPr>
        <w:pStyle w:val="3"/>
        <w:jc w:val="center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第2页 共2页</w:t>
      </w:r>
    </w:p>
    <w:sectPr>
      <w:pgSz w:w="11906" w:h="16838"/>
      <w:pgMar w:top="400" w:right="901" w:bottom="67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E65475F"/>
    <w:rsid w:val="15B371AA"/>
    <w:rsid w:val="1D605BC2"/>
    <w:rsid w:val="2817622A"/>
    <w:rsid w:val="2A0E468C"/>
    <w:rsid w:val="2AA45E84"/>
    <w:rsid w:val="3DB47ECB"/>
    <w:rsid w:val="4F0679B3"/>
    <w:rsid w:val="4F5E0042"/>
    <w:rsid w:val="510319F7"/>
    <w:rsid w:val="51FC6406"/>
    <w:rsid w:val="53083888"/>
    <w:rsid w:val="57126742"/>
    <w:rsid w:val="61EF0A70"/>
    <w:rsid w:val="7A587B47"/>
    <w:rsid w:val="7AC4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1271</Words>
  <Characters>1349</Characters>
  <Lines>0</Lines>
  <Paragraphs>0</Paragraphs>
  <TotalTime>5</TotalTime>
  <ScaleCrop>false</ScaleCrop>
  <LinksUpToDate>false</LinksUpToDate>
  <CharactersWithSpaces>1460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芝蔴阿門</cp:lastModifiedBy>
  <dcterms:modified xsi:type="dcterms:W3CDTF">2025-11-25T01:02:15Z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0676F65651C347FBACF1F150FECFCF77_13</vt:lpwstr>
  </property>
  <property fmtid="{D5CDD505-2E9C-101B-9397-08002B2CF9AE}" pid="4" name="KSOTemplateDocerSaveRecord">
    <vt:lpwstr>eyJoZGlkIjoiMjRjMmIwN2JhY2U2OGYwZDk1MzkyNTcwZTk0ZTdlY2IiLCJ1c2VySWQiOiIyOTI2NjkwNzAifQ==</vt:lpwstr>
  </property>
</Properties>
</file>