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1675D">
      <w:pPr>
        <w:widowControl/>
        <w:jc w:val="center"/>
        <w:rPr>
          <w:rFonts w:hint="eastAsia" w:ascii="方正小标宋简体" w:hAnsi="方正小标宋简体" w:eastAsia="方正小标宋简体" w:cs="方正小标宋简体"/>
          <w:bCs/>
          <w:color w:val="0000FF"/>
          <w:sz w:val="32"/>
          <w:szCs w:val="32"/>
          <w:lang w:eastAsia="zh-CN"/>
        </w:rPr>
      </w:pPr>
      <w:r>
        <w:rPr>
          <w:rFonts w:hint="eastAsia" w:ascii="方正小标宋简体" w:hAnsi="方正小标宋简体" w:eastAsia="方正小标宋简体" w:cs="方正小标宋简体"/>
          <w:bCs/>
          <w:sz w:val="32"/>
          <w:szCs w:val="32"/>
          <w:lang w:eastAsia="zh-CN"/>
        </w:rPr>
        <w:t>柳州市鱼峰区综合行政执法局</w:t>
      </w:r>
    </w:p>
    <w:p w14:paraId="19036447">
      <w:pPr>
        <w:spacing w:line="510" w:lineRule="exact"/>
        <w:jc w:val="center"/>
        <w:rPr>
          <w:rFonts w:ascii="方正小标宋简体" w:hAnsi="方正小标宋简体" w:eastAsia="方正小标宋简体" w:cs="方正小标宋简体"/>
          <w:bCs/>
          <w:sz w:val="44"/>
        </w:rPr>
      </w:pPr>
      <w:r>
        <w:rPr>
          <w:rFonts w:hint="eastAsia" w:ascii="方正小标宋简体" w:hAnsi="方正小标宋简体" w:eastAsia="方正小标宋简体" w:cs="方正小标宋简体"/>
          <w:bCs/>
          <w:sz w:val="44"/>
          <w:szCs w:val="44"/>
        </w:rPr>
        <w:t>责令限期拆除告知书</w:t>
      </w:r>
    </w:p>
    <w:p w14:paraId="5DB5E7FF">
      <w:pPr>
        <w:spacing w:line="560" w:lineRule="exact"/>
        <w:jc w:val="center"/>
        <w:rPr>
          <w:rFonts w:ascii="仿宋_GB2312" w:eastAsia="仿宋_GB2312"/>
          <w:sz w:val="28"/>
          <w:u w:val="single"/>
        </w:rPr>
      </w:pPr>
      <w:r>
        <w:rPr>
          <w:rFonts w:hint="eastAsia" w:ascii="仿宋_GB2312" w:eastAsia="仿宋_GB2312"/>
          <w:sz w:val="28"/>
        </w:rPr>
        <w:t xml:space="preserve">                               </w:t>
      </w:r>
      <w:r>
        <w:rPr>
          <w:rFonts w:hint="eastAsia" w:ascii="仿宋_GB2312" w:eastAsia="仿宋_GB2312"/>
          <w:sz w:val="28"/>
          <w:lang w:eastAsia="zh-CN"/>
        </w:rPr>
        <w:t>柳鱼峰综执</w:t>
      </w:r>
      <w:r>
        <w:rPr>
          <w:rFonts w:hint="eastAsia" w:ascii="仿宋_GB2312" w:eastAsia="仿宋_GB2312"/>
          <w:sz w:val="28"/>
        </w:rPr>
        <w:t>责拆告字</w:t>
      </w:r>
      <w:r>
        <w:rPr>
          <w:rFonts w:hint="eastAsia" w:ascii="仿宋_GB2312" w:eastAsia="仿宋_GB2312"/>
          <w:sz w:val="28"/>
          <w:lang w:eastAsia="zh-CN"/>
        </w:rPr>
        <w:t>〔2025〕第26069号</w:t>
      </w:r>
      <w:r>
        <w:rPr>
          <w:rFonts w:hint="eastAsia" w:ascii="仿宋_GB2312" w:eastAsia="仿宋_GB2312"/>
          <w:sz w:val="28"/>
        </w:rPr>
        <w:t xml:space="preserve"> </w:t>
      </w:r>
    </w:p>
    <w:p w14:paraId="5E9EEE8F">
      <w:pPr>
        <w:spacing w:line="400" w:lineRule="exact"/>
        <w:rPr>
          <w:rFonts w:ascii="仿宋_GB2312" w:hAnsi="仿宋" w:eastAsia="仿宋_GB2312" w:cs="仿宋"/>
          <w:sz w:val="28"/>
          <w:szCs w:val="28"/>
        </w:rPr>
      </w:pPr>
      <w:r>
        <w:rPr>
          <w:rFonts w:hint="eastAsia" w:eastAsia="仿宋_GB2312"/>
          <w:bCs/>
          <w:sz w:val="28"/>
          <w:szCs w:val="28"/>
          <w:u w:val="single"/>
          <w:lang w:eastAsia="zh-CN"/>
        </w:rPr>
        <w:t>莫贵铭、王玮茜</w:t>
      </w:r>
      <w:r>
        <w:rPr>
          <w:rFonts w:hint="eastAsia" w:ascii="仿宋_GB2312" w:hAnsi="仿宋" w:eastAsia="仿宋_GB2312" w:cs="仿宋"/>
          <w:sz w:val="28"/>
          <w:szCs w:val="28"/>
        </w:rPr>
        <w:t>：</w:t>
      </w:r>
    </w:p>
    <w:p w14:paraId="190C63A4">
      <w:pPr>
        <w:spacing w:line="400" w:lineRule="exact"/>
        <w:ind w:firstLine="548" w:firstLineChars="196"/>
        <w:jc w:val="left"/>
        <w:rPr>
          <w:rFonts w:ascii="仿宋_GB2312" w:hAnsi="仿宋" w:eastAsia="仿宋_GB2312" w:cs="仿宋"/>
          <w:sz w:val="28"/>
          <w:szCs w:val="28"/>
        </w:rPr>
      </w:pPr>
      <w:r>
        <w:rPr>
          <w:rFonts w:hint="eastAsia" w:ascii="仿宋_GB2312" w:hAnsi="仿宋" w:eastAsia="仿宋_GB2312" w:cs="仿宋"/>
          <w:sz w:val="28"/>
          <w:szCs w:val="28"/>
        </w:rPr>
        <w:t>根据</w:t>
      </w:r>
      <w:r>
        <w:rPr>
          <w:rFonts w:hint="eastAsia" w:ascii="仿宋_GB2312" w:hAnsi="仿宋" w:eastAsia="仿宋_GB2312" w:cs="仿宋"/>
          <w:sz w:val="28"/>
          <w:szCs w:val="28"/>
          <w:u w:val="single"/>
        </w:rPr>
        <w:t>《中华人民共和国行政处罚法》第五十四条</w:t>
      </w:r>
      <w:r>
        <w:rPr>
          <w:rFonts w:hint="eastAsia" w:ascii="仿宋_GB2312" w:hAnsi="仿宋" w:eastAsia="仿宋_GB2312" w:cs="仿宋"/>
          <w:sz w:val="28"/>
          <w:szCs w:val="28"/>
        </w:rPr>
        <w:t>的规定，本机关于</w:t>
      </w:r>
      <w:r>
        <w:rPr>
          <w:rFonts w:hint="eastAsia" w:ascii="仿宋_GB2312" w:hAnsi="仿宋" w:eastAsia="仿宋_GB2312" w:cs="仿宋"/>
          <w:sz w:val="28"/>
          <w:szCs w:val="28"/>
          <w:u w:val="single"/>
          <w:lang w:eastAsia="zh-CN"/>
        </w:rPr>
        <w:t>2025年5月20日</w:t>
      </w:r>
      <w:r>
        <w:rPr>
          <w:rFonts w:hint="eastAsia" w:ascii="仿宋_GB2312" w:hAnsi="仿宋" w:eastAsia="仿宋_GB2312" w:cs="仿宋"/>
          <w:sz w:val="28"/>
          <w:szCs w:val="28"/>
        </w:rPr>
        <w:t>对</w:t>
      </w:r>
      <w:r>
        <w:rPr>
          <w:rFonts w:hint="eastAsia" w:ascii="仿宋_GB2312" w:hAnsi="仿宋" w:eastAsia="仿宋_GB2312" w:cs="仿宋"/>
          <w:sz w:val="28"/>
          <w:szCs w:val="28"/>
          <w:lang w:eastAsia="zh-CN"/>
        </w:rPr>
        <w:t>你们</w:t>
      </w:r>
      <w:r>
        <w:rPr>
          <w:rFonts w:hint="eastAsia" w:ascii="仿宋_GB2312" w:hAnsi="仿宋" w:eastAsia="仿宋_GB2312" w:cs="仿宋"/>
          <w:sz w:val="28"/>
          <w:szCs w:val="28"/>
          <w:lang w:val="en-US" w:eastAsia="zh-CN"/>
        </w:rPr>
        <w:t>们</w:t>
      </w:r>
      <w:r>
        <w:rPr>
          <w:rFonts w:hint="eastAsia" w:ascii="仿宋_GB2312" w:hAnsi="仿宋" w:eastAsia="仿宋_GB2312" w:cs="仿宋"/>
          <w:strike/>
          <w:dstrike w:val="0"/>
          <w:sz w:val="28"/>
          <w:szCs w:val="28"/>
        </w:rPr>
        <w:t>（单位）</w:t>
      </w:r>
      <w:r>
        <w:rPr>
          <w:rFonts w:hint="eastAsia" w:ascii="仿宋_GB2312" w:hAnsi="仿宋" w:eastAsia="仿宋_GB2312" w:cs="仿宋"/>
          <w:sz w:val="28"/>
          <w:szCs w:val="28"/>
        </w:rPr>
        <w:t>涉嫌</w:t>
      </w:r>
      <w:r>
        <w:rPr>
          <w:rFonts w:hint="eastAsia" w:ascii="仿宋_GB2312" w:hAnsi="仿宋" w:eastAsia="仿宋_GB2312" w:cs="仿宋"/>
          <w:sz w:val="28"/>
          <w:szCs w:val="28"/>
          <w:u w:val="single"/>
          <w:lang w:eastAsia="zh-CN"/>
        </w:rPr>
        <w:t>未经许可擅自建设构筑物的行为</w:t>
      </w:r>
      <w:r>
        <w:rPr>
          <w:rFonts w:hint="eastAsia" w:ascii="仿宋_GB2312" w:hAnsi="仿宋" w:eastAsia="仿宋_GB2312" w:cs="仿宋"/>
          <w:sz w:val="28"/>
          <w:szCs w:val="28"/>
        </w:rPr>
        <w:t>予以立案调查。</w:t>
      </w:r>
    </w:p>
    <w:p w14:paraId="7968E6DD">
      <w:pPr>
        <w:spacing w:line="400" w:lineRule="exact"/>
        <w:ind w:firstLine="548" w:firstLineChars="196"/>
        <w:jc w:val="left"/>
        <w:rPr>
          <w:rFonts w:ascii="仿宋_GB2312" w:hAnsi="仿宋" w:eastAsia="仿宋_GB2312" w:cs="仿宋"/>
          <w:sz w:val="28"/>
          <w:szCs w:val="28"/>
        </w:rPr>
      </w:pPr>
      <w:r>
        <w:rPr>
          <w:rFonts w:hint="eastAsia" w:ascii="仿宋_GB2312" w:hAnsi="仿宋" w:eastAsia="仿宋_GB2312" w:cs="仿宋"/>
          <w:sz w:val="28"/>
          <w:szCs w:val="28"/>
        </w:rPr>
        <w:t>现查明，</w:t>
      </w:r>
      <w:r>
        <w:rPr>
          <w:rFonts w:hint="eastAsia" w:ascii="仿宋_GB2312" w:hAnsi="仿宋" w:eastAsia="仿宋_GB2312" w:cs="仿宋"/>
          <w:sz w:val="28"/>
          <w:szCs w:val="28"/>
          <w:lang w:eastAsia="zh-CN"/>
        </w:rPr>
        <w:t>你们</w:t>
      </w:r>
      <w:r>
        <w:rPr>
          <w:rFonts w:hint="eastAsia" w:ascii="仿宋_GB2312" w:hAnsi="仿宋" w:eastAsia="仿宋_GB2312" w:cs="仿宋"/>
          <w:sz w:val="28"/>
          <w:szCs w:val="28"/>
          <w:lang w:val="en-US" w:eastAsia="zh-CN"/>
        </w:rPr>
        <w:t>们</w:t>
      </w:r>
      <w:r>
        <w:rPr>
          <w:rFonts w:hint="eastAsia" w:ascii="仿宋_GB2312" w:hAnsi="仿宋" w:eastAsia="仿宋_GB2312" w:cs="仿宋"/>
          <w:strike/>
          <w:dstrike w:val="0"/>
          <w:sz w:val="28"/>
          <w:szCs w:val="28"/>
        </w:rPr>
        <w:t>（单位）</w:t>
      </w:r>
      <w:r>
        <w:rPr>
          <w:rFonts w:hint="eastAsia" w:ascii="仿宋_GB2312" w:hAnsi="仿宋" w:eastAsia="仿宋_GB2312" w:cs="仿宋"/>
          <w:sz w:val="28"/>
          <w:szCs w:val="28"/>
        </w:rPr>
        <w:t>未经许可擅自</w:t>
      </w:r>
      <w:r>
        <w:rPr>
          <w:rFonts w:hint="eastAsia" w:ascii="仿宋_GB2312" w:eastAsia="仿宋_GB2312"/>
          <w:sz w:val="28"/>
          <w:lang w:eastAsia="zh-CN"/>
        </w:rPr>
        <w:t>在</w:t>
      </w:r>
      <w:r>
        <w:rPr>
          <w:rFonts w:hint="eastAsia" w:ascii="仿宋_GB2312" w:eastAsia="仿宋_GB2312"/>
          <w:sz w:val="28"/>
          <w:u w:val="single"/>
          <w:lang w:eastAsia="zh-CN"/>
        </w:rPr>
        <w:t>荣军路327号荣城祥和名邸1栋1单元8-1南面建设钢架结构构筑物一处</w:t>
      </w:r>
      <w:r>
        <w:rPr>
          <w:rFonts w:hint="eastAsia" w:ascii="仿宋_GB2312" w:eastAsia="仿宋_GB2312"/>
          <w:sz w:val="28"/>
          <w:u w:val="single"/>
        </w:rPr>
        <w:t>（</w:t>
      </w:r>
      <w:r>
        <w:rPr>
          <w:rFonts w:hint="eastAsia" w:ascii="仿宋_GB2312" w:eastAsia="仿宋_GB2312"/>
          <w:sz w:val="28"/>
          <w:u w:val="single"/>
          <w:lang w:eastAsia="zh-CN"/>
        </w:rPr>
        <w:t>建设尺寸为：长2.5米，宽2米</w:t>
      </w:r>
      <w:r>
        <w:rPr>
          <w:rFonts w:hint="eastAsia" w:ascii="仿宋_GB2312" w:eastAsia="仿宋_GB2312"/>
          <w:sz w:val="28"/>
          <w:u w:val="single"/>
        </w:rPr>
        <w:t>）。</w:t>
      </w:r>
      <w:r>
        <w:rPr>
          <w:rFonts w:hint="eastAsia" w:ascii="仿宋_GB2312" w:hAnsi="仿宋" w:eastAsia="仿宋_GB2312" w:cs="仿宋"/>
          <w:sz w:val="28"/>
          <w:szCs w:val="28"/>
        </w:rPr>
        <w:t>本机关认为，</w:t>
      </w:r>
      <w:r>
        <w:rPr>
          <w:rFonts w:hint="eastAsia" w:ascii="仿宋_GB2312" w:hAnsi="仿宋" w:eastAsia="仿宋_GB2312" w:cs="仿宋"/>
          <w:sz w:val="28"/>
          <w:szCs w:val="28"/>
          <w:lang w:eastAsia="zh-CN"/>
        </w:rPr>
        <w:t>你们</w:t>
      </w:r>
      <w:r>
        <w:rPr>
          <w:rFonts w:hint="eastAsia" w:ascii="仿宋_GB2312" w:hAnsi="仿宋" w:eastAsia="仿宋_GB2312" w:cs="仿宋"/>
          <w:sz w:val="28"/>
          <w:szCs w:val="28"/>
          <w:lang w:val="en-US" w:eastAsia="zh-CN"/>
        </w:rPr>
        <w:t>们</w:t>
      </w:r>
      <w:r>
        <w:rPr>
          <w:rFonts w:hint="eastAsia" w:ascii="仿宋_GB2312" w:hAnsi="仿宋" w:eastAsia="仿宋_GB2312" w:cs="仿宋"/>
          <w:strike/>
          <w:dstrike w:val="0"/>
          <w:sz w:val="28"/>
          <w:szCs w:val="28"/>
        </w:rPr>
        <w:t>（单位）</w:t>
      </w:r>
      <w:r>
        <w:rPr>
          <w:rFonts w:hint="eastAsia" w:ascii="仿宋_GB2312" w:hAnsi="仿宋" w:eastAsia="仿宋_GB2312" w:cs="仿宋"/>
          <w:sz w:val="28"/>
          <w:szCs w:val="28"/>
        </w:rPr>
        <w:t>的上述行为违反了</w:t>
      </w:r>
      <w:r>
        <w:rPr>
          <w:rFonts w:hint="eastAsia" w:ascii="仿宋_GB2312" w:hAnsi="仿宋" w:eastAsia="仿宋_GB2312" w:cs="仿宋"/>
          <w:sz w:val="28"/>
          <w:szCs w:val="28"/>
          <w:u w:val="single"/>
        </w:rPr>
        <w:t>《中华人民共和国城乡规划法》第四十条第一款</w:t>
      </w:r>
      <w:r>
        <w:rPr>
          <w:rFonts w:hint="eastAsia" w:ascii="仿宋_GB2312" w:hAnsi="仿宋" w:eastAsia="仿宋_GB2312" w:cs="仿宋"/>
          <w:sz w:val="28"/>
          <w:szCs w:val="28"/>
        </w:rPr>
        <w:t>的规定，</w:t>
      </w:r>
      <w:r>
        <w:rPr>
          <w:rFonts w:hint="eastAsia" w:ascii="仿宋_GB2312" w:eastAsia="仿宋_GB2312"/>
          <w:sz w:val="28"/>
        </w:rPr>
        <w:t>依据</w:t>
      </w:r>
      <w:r>
        <w:rPr>
          <w:rFonts w:hint="eastAsia" w:ascii="仿宋_GB2312" w:eastAsia="仿宋_GB2312"/>
          <w:sz w:val="28"/>
          <w:u w:val="single"/>
        </w:rPr>
        <w:t>《中华人民共和国城乡规划法》第六十四条</w:t>
      </w:r>
      <w:r>
        <w:rPr>
          <w:rFonts w:hint="eastAsia" w:ascii="仿宋_GB2312" w:eastAsia="仿宋_GB2312"/>
          <w:sz w:val="28"/>
        </w:rPr>
        <w:t>的规定，</w:t>
      </w:r>
      <w:r>
        <w:rPr>
          <w:rFonts w:hint="eastAsia" w:ascii="仿宋_GB2312" w:hAnsi="仿宋" w:eastAsia="仿宋_GB2312" w:cs="仿宋"/>
          <w:sz w:val="28"/>
          <w:szCs w:val="28"/>
        </w:rPr>
        <w:t>拟对</w:t>
      </w:r>
      <w:r>
        <w:rPr>
          <w:rFonts w:hint="eastAsia" w:ascii="仿宋_GB2312" w:hAnsi="仿宋" w:eastAsia="仿宋_GB2312" w:cs="仿宋"/>
          <w:sz w:val="28"/>
          <w:szCs w:val="28"/>
          <w:lang w:eastAsia="zh-CN"/>
        </w:rPr>
        <w:t>你们</w:t>
      </w:r>
      <w:r>
        <w:rPr>
          <w:rFonts w:hint="eastAsia" w:ascii="仿宋_GB2312" w:hAnsi="仿宋" w:eastAsia="仿宋_GB2312" w:cs="仿宋"/>
          <w:sz w:val="28"/>
          <w:szCs w:val="28"/>
          <w:lang w:val="en-US" w:eastAsia="zh-CN"/>
        </w:rPr>
        <w:t>们</w:t>
      </w:r>
      <w:r>
        <w:rPr>
          <w:rFonts w:hint="eastAsia" w:ascii="仿宋_GB2312" w:hAnsi="仿宋" w:eastAsia="仿宋_GB2312" w:cs="仿宋"/>
          <w:strike/>
          <w:dstrike w:val="0"/>
          <w:sz w:val="28"/>
          <w:szCs w:val="28"/>
        </w:rPr>
        <w:t>（单位）</w:t>
      </w:r>
      <w:r>
        <w:rPr>
          <w:rFonts w:hint="eastAsia" w:ascii="仿宋_GB2312" w:hAnsi="仿宋" w:eastAsia="仿宋_GB2312" w:cs="仿宋"/>
          <w:sz w:val="28"/>
          <w:szCs w:val="28"/>
        </w:rPr>
        <w:t>作出如下决定：</w:t>
      </w:r>
    </w:p>
    <w:p w14:paraId="55AA613B">
      <w:pPr>
        <w:spacing w:line="400" w:lineRule="exact"/>
        <w:jc w:val="left"/>
        <w:rPr>
          <w:rFonts w:ascii="仿宋_GB2312" w:hAnsi="仿宋" w:eastAsia="仿宋_GB2312" w:cs="仿宋"/>
          <w:sz w:val="28"/>
          <w:szCs w:val="28"/>
          <w:u w:val="single"/>
        </w:rPr>
      </w:pPr>
      <w:r>
        <w:rPr>
          <w:rFonts w:hint="eastAsia" w:ascii="仿宋_GB2312" w:hAnsi="仿宋" w:eastAsia="仿宋_GB2312" w:cs="仿宋"/>
          <w:sz w:val="28"/>
          <w:szCs w:val="28"/>
        </w:rPr>
        <w:t xml:space="preserve">    </w:t>
      </w:r>
      <w:r>
        <w:rPr>
          <w:rFonts w:hint="eastAsia" w:ascii="仿宋_GB2312" w:hAnsi="仿宋" w:eastAsia="仿宋_GB2312" w:cs="仿宋"/>
          <w:sz w:val="28"/>
          <w:szCs w:val="28"/>
          <w:u w:val="single"/>
        </w:rPr>
        <w:t>责令限期自行拆除上述违法建筑。</w:t>
      </w:r>
    </w:p>
    <w:p w14:paraId="279BAE9E">
      <w:pPr>
        <w:spacing w:line="400" w:lineRule="exact"/>
        <w:ind w:firstLine="548" w:firstLineChars="196"/>
        <w:jc w:val="left"/>
        <w:rPr>
          <w:rFonts w:ascii="仿宋_GB2312" w:hAnsi="仿宋" w:eastAsia="仿宋_GB2312" w:cs="仿宋"/>
          <w:sz w:val="28"/>
          <w:szCs w:val="28"/>
        </w:rPr>
      </w:pPr>
      <w:r>
        <w:rPr>
          <w:rFonts w:hint="eastAsia" w:ascii="仿宋_GB2312" w:hAnsi="仿宋" w:eastAsia="仿宋_GB2312" w:cs="仿宋"/>
          <w:sz w:val="28"/>
          <w:szCs w:val="28"/>
        </w:rPr>
        <w:t>根据《中华人民共和国行政处罚法》第四十四条、四十五条的规定，</w:t>
      </w:r>
      <w:r>
        <w:rPr>
          <w:rFonts w:hint="eastAsia" w:ascii="仿宋_GB2312" w:hAnsi="仿宋" w:eastAsia="仿宋_GB2312" w:cs="仿宋"/>
          <w:sz w:val="28"/>
          <w:szCs w:val="28"/>
          <w:lang w:eastAsia="zh-CN"/>
        </w:rPr>
        <w:t>你们</w:t>
      </w:r>
      <w:r>
        <w:rPr>
          <w:rFonts w:hint="eastAsia" w:ascii="仿宋_GB2312" w:hAnsi="仿宋" w:eastAsia="仿宋_GB2312" w:cs="仿宋"/>
          <w:sz w:val="28"/>
          <w:szCs w:val="28"/>
          <w:lang w:val="en-US" w:eastAsia="zh-CN"/>
        </w:rPr>
        <w:t>们</w:t>
      </w:r>
      <w:r>
        <w:rPr>
          <w:rFonts w:hint="eastAsia" w:ascii="仿宋_GB2312" w:hAnsi="仿宋" w:eastAsia="仿宋_GB2312" w:cs="仿宋"/>
          <w:strike/>
          <w:dstrike w:val="0"/>
          <w:sz w:val="28"/>
          <w:szCs w:val="28"/>
        </w:rPr>
        <w:t>（单位）</w:t>
      </w:r>
      <w:r>
        <w:rPr>
          <w:rFonts w:hint="eastAsia" w:ascii="仿宋_GB2312" w:hAnsi="仿宋" w:eastAsia="仿宋_GB2312" w:cs="仿宋"/>
          <w:sz w:val="28"/>
          <w:szCs w:val="28"/>
        </w:rPr>
        <w:t>对本机关上述认定的违法事实、处罚依据及处罚内容等有异议的，可在收到本告知书之日起5个工作日内向本机关提出书面陈述、申辩意见，或到本机关进行口头陈述、申辩。逾期不提供书面陈述、申辩意见，本机关将依法作出处理决定。</w:t>
      </w:r>
    </w:p>
    <w:p w14:paraId="475582A2">
      <w:pPr>
        <w:spacing w:line="400" w:lineRule="exact"/>
        <w:ind w:firstLine="548" w:firstLineChars="196"/>
        <w:jc w:val="left"/>
        <w:rPr>
          <w:rFonts w:ascii="仿宋_GB2312" w:eastAsia="仿宋_GB2312"/>
          <w:sz w:val="28"/>
        </w:rPr>
      </w:pPr>
      <w:r>
        <w:rPr>
          <w:rFonts w:hint="eastAsia" w:ascii="仿宋" w:hAnsi="仿宋" w:eastAsia="仿宋" w:cs="仿宋"/>
          <w:sz w:val="28"/>
          <w:szCs w:val="28"/>
        </w:rPr>
        <w:sym w:font="Wingdings" w:char="00A8"/>
      </w:r>
      <w:r>
        <w:rPr>
          <w:rFonts w:hint="eastAsia" w:ascii="仿宋_GB2312" w:hAnsi="仿宋" w:eastAsia="仿宋_GB2312" w:cs="仿宋"/>
          <w:sz w:val="28"/>
          <w:szCs w:val="28"/>
        </w:rPr>
        <w:t>如</w:t>
      </w:r>
      <w:r>
        <w:rPr>
          <w:rFonts w:hint="eastAsia" w:ascii="仿宋_GB2312" w:hAnsi="仿宋" w:eastAsia="仿宋_GB2312" w:cs="仿宋"/>
          <w:sz w:val="28"/>
          <w:szCs w:val="28"/>
          <w:lang w:eastAsia="zh-CN"/>
        </w:rPr>
        <w:t>你们</w:t>
      </w:r>
      <w:r>
        <w:rPr>
          <w:rFonts w:hint="eastAsia" w:ascii="仿宋_GB2312" w:hAnsi="仿宋" w:eastAsia="仿宋_GB2312" w:cs="仿宋"/>
          <w:sz w:val="28"/>
          <w:szCs w:val="28"/>
        </w:rPr>
        <w:t>单位因违反城市管理法律法规受到行政处罚，该处罚信息将被归集公示到“信用中国”网站（</w:t>
      </w:r>
      <w:r>
        <w:rPr>
          <w:rFonts w:hint="eastAsia" w:ascii="仿宋_GB2312" w:hAnsi="仿宋" w:eastAsia="仿宋_GB2312" w:cs="仿宋"/>
          <w:sz w:val="24"/>
          <w:szCs w:val="24"/>
        </w:rPr>
        <w:t>https://www.creditchina.gov.cn/</w:t>
      </w:r>
      <w:r>
        <w:rPr>
          <w:rFonts w:hint="eastAsia" w:ascii="仿宋_GB2312" w:hAnsi="仿宋" w:eastAsia="仿宋_GB2312" w:cs="仿宋"/>
          <w:sz w:val="28"/>
          <w:szCs w:val="28"/>
        </w:rPr>
        <w:t>）和国家企业信用信息公示系统</w:t>
      </w:r>
      <w:r>
        <w:rPr>
          <w:rFonts w:hint="eastAsia" w:ascii="仿宋_GB2312" w:eastAsia="仿宋_GB2312"/>
          <w:sz w:val="28"/>
        </w:rPr>
        <w:t>。</w:t>
      </w:r>
    </w:p>
    <w:p w14:paraId="40D2E898">
      <w:pPr>
        <w:overflowPunct w:val="0"/>
        <w:adjustRightInd w:val="0"/>
        <w:snapToGrid w:val="0"/>
        <w:spacing w:line="400" w:lineRule="exact"/>
        <w:ind w:firstLine="534" w:firstLineChars="191"/>
        <w:jc w:val="left"/>
        <w:rPr>
          <w:rFonts w:ascii="仿宋_GB2312" w:eastAsia="仿宋_GB2312"/>
          <w:sz w:val="28"/>
          <w:szCs w:val="28"/>
        </w:rPr>
      </w:pPr>
      <w:r>
        <w:rPr>
          <w:rFonts w:hint="eastAsia" w:ascii="仿宋_GB2312" w:eastAsia="仿宋_GB2312"/>
          <w:sz w:val="28"/>
          <w:szCs w:val="28"/>
        </w:rPr>
        <w:t>联 系 人：</w:t>
      </w:r>
      <w:r>
        <w:rPr>
          <w:rFonts w:hint="eastAsia" w:ascii="仿宋_GB2312" w:eastAsia="仿宋_GB2312"/>
          <w:color w:val="060606"/>
          <w:sz w:val="28"/>
          <w:szCs w:val="28"/>
          <w:u w:val="single"/>
          <w:lang w:eastAsia="zh-CN"/>
        </w:rPr>
        <w:t>鱼峰中队 刘岳冰、郑美欣</w:t>
      </w:r>
      <w:r>
        <w:rPr>
          <w:rFonts w:hint="eastAsia" w:ascii="仿宋_GB2312" w:eastAsia="仿宋_GB2312"/>
          <w:color w:val="060606"/>
          <w:sz w:val="28"/>
          <w:szCs w:val="28"/>
          <w:u w:val="single"/>
        </w:rPr>
        <w:t xml:space="preserve"> </w:t>
      </w:r>
      <w:r>
        <w:rPr>
          <w:rFonts w:hint="eastAsia" w:ascii="仿宋_GB2312" w:eastAsia="仿宋_GB2312"/>
          <w:color w:val="060606"/>
          <w:sz w:val="28"/>
          <w:szCs w:val="28"/>
        </w:rPr>
        <w:t xml:space="preserve">      </w:t>
      </w: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color w:val="060606"/>
          <w:sz w:val="28"/>
          <w:szCs w:val="28"/>
          <w:u w:val="single"/>
          <w:lang w:eastAsia="zh-CN"/>
        </w:rPr>
        <w:t>07722020684</w:t>
      </w:r>
      <w:r>
        <w:rPr>
          <w:rFonts w:hint="eastAsia" w:ascii="仿宋_GB2312" w:eastAsia="仿宋_GB2312"/>
          <w:color w:val="060606"/>
          <w:sz w:val="28"/>
          <w:szCs w:val="28"/>
          <w:u w:val="single"/>
        </w:rPr>
        <w:t xml:space="preserve"> </w:t>
      </w:r>
    </w:p>
    <w:p w14:paraId="7316A4FA">
      <w:pPr>
        <w:overflowPunct w:val="0"/>
        <w:adjustRightInd w:val="0"/>
        <w:snapToGrid w:val="0"/>
        <w:spacing w:line="400" w:lineRule="exact"/>
        <w:ind w:firstLine="534" w:firstLineChars="191"/>
        <w:jc w:val="left"/>
        <w:rPr>
          <w:rFonts w:eastAsia="仿宋_GB2312"/>
          <w:sz w:val="28"/>
          <w:szCs w:val="28"/>
        </w:rPr>
      </w:pPr>
      <w:r>
        <w:rPr>
          <w:rFonts w:hint="eastAsia" w:ascii="仿宋_GB2312" w:eastAsia="仿宋_GB2312"/>
          <w:sz w:val="28"/>
          <w:szCs w:val="28"/>
        </w:rPr>
        <w:t>联系地址：</w:t>
      </w:r>
      <w:r>
        <w:rPr>
          <w:rFonts w:hint="eastAsia" w:ascii="仿宋_GB2312" w:eastAsia="仿宋_GB2312"/>
          <w:color w:val="060606"/>
          <w:sz w:val="28"/>
          <w:szCs w:val="28"/>
          <w:u w:val="single"/>
        </w:rPr>
        <w:t xml:space="preserve"> 荣军路东三巷口（原荣军路形象展示中心） </w:t>
      </w:r>
    </w:p>
    <w:p w14:paraId="7138299F">
      <w:pPr>
        <w:overflowPunct w:val="0"/>
        <w:snapToGrid w:val="0"/>
        <w:spacing w:line="480" w:lineRule="exact"/>
        <w:jc w:val="left"/>
        <w:rPr>
          <w:rFonts w:eastAsia="仿宋_GB2312"/>
          <w:color w:val="0000FF"/>
          <w:sz w:val="28"/>
          <w:szCs w:val="28"/>
        </w:rPr>
      </w:pPr>
    </w:p>
    <w:p w14:paraId="4E109CE3">
      <w:pPr>
        <w:spacing w:line="480" w:lineRule="exact"/>
        <w:ind w:firstLine="5600" w:firstLineChars="200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柳州市鱼峰区综合行政执法局</w:t>
      </w:r>
    </w:p>
    <w:p w14:paraId="6512EFB8">
      <w:pPr>
        <w:overflowPunct w:val="0"/>
        <w:snapToGrid w:val="0"/>
        <w:spacing w:after="145" w:line="480" w:lineRule="exact"/>
        <w:ind w:firstLine="605"/>
        <w:jc w:val="left"/>
        <w:outlineLvl w:val="0"/>
        <w:rPr>
          <w:rFonts w:eastAsia="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lang w:val="en-US" w:eastAsia="zh-CN"/>
        </w:rPr>
        <w:t>0二五</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eastAsia="zh-CN"/>
        </w:rPr>
        <w:t>十六</w:t>
      </w:r>
      <w:r>
        <w:rPr>
          <w:rFonts w:hint="eastAsia" w:ascii="仿宋_GB2312" w:hAnsi="仿宋_GB2312" w:eastAsia="仿宋_GB2312" w:cs="仿宋_GB2312"/>
          <w:sz w:val="28"/>
          <w:szCs w:val="28"/>
        </w:rPr>
        <w:t>日</w:t>
      </w:r>
    </w:p>
    <w:p w14:paraId="7EA2C19D">
      <w:pPr>
        <w:overflowPunct w:val="0"/>
        <w:snapToGrid w:val="0"/>
        <w:spacing w:line="320" w:lineRule="exact"/>
        <w:ind w:firstLine="560" w:firstLineChars="200"/>
        <w:jc w:val="left"/>
        <w:rPr>
          <w:rFonts w:eastAsia="仿宋_GB2312"/>
          <w:color w:val="0000FF"/>
          <w:sz w:val="28"/>
          <w:szCs w:val="28"/>
        </w:rPr>
      </w:pPr>
      <w:r>
        <w:rPr>
          <w:rFonts w:hint="eastAsia" w:eastAsia="仿宋_GB2312"/>
          <w:sz w:val="28"/>
          <w:szCs w:val="28"/>
        </w:rPr>
        <w:t>附：《中华人民共和国城乡规划法》</w:t>
      </w:r>
    </w:p>
    <w:p w14:paraId="03F452E9">
      <w:pPr>
        <w:spacing w:line="320" w:lineRule="exact"/>
        <w:ind w:firstLine="482" w:firstLineChars="200"/>
        <w:rPr>
          <w:rFonts w:ascii="仿宋_GB2312" w:hAnsi="仿宋" w:eastAsia="仿宋_GB2312" w:cs="宋体"/>
          <w:kern w:val="0"/>
          <w:sz w:val="24"/>
          <w:szCs w:val="20"/>
        </w:rPr>
      </w:pPr>
      <w:r>
        <w:rPr>
          <w:rFonts w:hint="eastAsia" w:ascii="仿宋_GB2312" w:hAnsi="仿宋" w:eastAsia="仿宋_GB2312" w:cs="宋体"/>
          <w:b/>
          <w:kern w:val="0"/>
          <w:sz w:val="24"/>
          <w:szCs w:val="20"/>
        </w:rPr>
        <w:t>第四十条</w:t>
      </w:r>
      <w:r>
        <w:rPr>
          <w:rFonts w:hint="eastAsia" w:ascii="仿宋_GB2312" w:hAnsi="仿宋" w:eastAsia="仿宋_GB2312" w:cs="宋体"/>
          <w:kern w:val="0"/>
          <w:sz w:val="24"/>
          <w:szCs w:val="20"/>
        </w:rPr>
        <w:t>　在城市、镇规划区内进行建筑物、构筑物、道路、管线和其他工程建设的，建设单位或者个人应当向城市、县人民政府城乡规划主管部门或者省、自治区、直辖市人民政府确定的镇人民政府申请办理建设工程规划许可证。</w:t>
      </w:r>
    </w:p>
    <w:p w14:paraId="59B78C25">
      <w:pPr>
        <w:overflowPunct w:val="0"/>
        <w:snapToGrid w:val="0"/>
        <w:spacing w:line="320" w:lineRule="exact"/>
        <w:ind w:firstLine="482" w:firstLineChars="200"/>
        <w:jc w:val="left"/>
        <w:rPr>
          <w:rFonts w:eastAsia="仿宋_GB2312"/>
          <w:color w:val="0000FF"/>
          <w:sz w:val="28"/>
          <w:szCs w:val="28"/>
        </w:rPr>
      </w:pPr>
      <w:r>
        <w:rPr>
          <w:rFonts w:hint="eastAsia" w:ascii="仿宋_GB2312" w:hAnsi="仿宋" w:eastAsia="仿宋_GB2312" w:cs="宋体"/>
          <w:b/>
          <w:kern w:val="0"/>
          <w:sz w:val="24"/>
        </w:rPr>
        <w:t>第六十四条</w:t>
      </w:r>
      <w:r>
        <w:rPr>
          <w:rFonts w:hint="eastAsia" w:ascii="仿宋_GB2312" w:hAnsi="仿宋" w:eastAsia="仿宋_GB2312" w:cs="宋体"/>
          <w:kern w:val="0"/>
          <w:sz w:val="24"/>
        </w:rPr>
        <w:t>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4451C723">
      <w:pPr>
        <w:spacing w:line="200" w:lineRule="exact"/>
        <w:jc w:val="left"/>
        <w:rPr>
          <w:rFonts w:eastAsia="仿宋_GB2312"/>
          <w:sz w:val="28"/>
          <w:szCs w:val="28"/>
        </w:rPr>
      </w:pPr>
    </w:p>
    <w:p w14:paraId="14F206BA">
      <w:pPr>
        <w:spacing w:line="200" w:lineRule="exact"/>
        <w:jc w:val="left"/>
        <w:rPr>
          <w:rFonts w:ascii="宋体" w:hAnsi="宋体"/>
          <w:spacing w:val="2"/>
          <w:sz w:val="28"/>
          <w:szCs w:val="28"/>
        </w:rPr>
      </w:pPr>
      <w:r>
        <w:rPr>
          <w:rFonts w:eastAsia="仿宋_GB2312"/>
          <w:sz w:val="28"/>
          <w:szCs w:val="28"/>
        </w:rPr>
        <w:t xml:space="preserve"> </w:t>
      </w:r>
      <w:r>
        <w:rPr>
          <w:rFonts w:hint="eastAsia" w:ascii="宋体" w:hAnsi="宋体"/>
          <w:spacing w:val="2"/>
          <w:sz w:val="28"/>
          <w:szCs w:val="28"/>
          <w:u w:val="thick"/>
        </w:rPr>
        <w:t xml:space="preserve">                                                                              </w:t>
      </w:r>
    </w:p>
    <w:p w14:paraId="37301D1D">
      <w:pPr>
        <w:overflowPunct w:val="0"/>
        <w:snapToGrid w:val="0"/>
        <w:spacing w:after="312" w:afterLines="100" w:line="520" w:lineRule="exact"/>
        <w:jc w:val="right"/>
        <w:rPr>
          <w:rFonts w:hint="eastAsia"/>
          <w:lang w:val="en-US" w:eastAsia="zh-CN"/>
        </w:rPr>
      </w:pPr>
      <w:r>
        <w:rPr>
          <w:rFonts w:hint="eastAsia" w:ascii="宋体" w:hAnsi="宋体"/>
          <w:spacing w:val="2"/>
          <w:sz w:val="28"/>
          <w:szCs w:val="28"/>
        </w:rPr>
        <w:t>第</w:t>
      </w:r>
      <w:r>
        <w:rPr>
          <w:rFonts w:hint="eastAsia" w:ascii="宋体" w:hAnsi="宋体"/>
          <w:spacing w:val="2"/>
          <w:sz w:val="28"/>
          <w:szCs w:val="28"/>
          <w:lang w:val="en-US" w:eastAsia="zh-CN"/>
        </w:rPr>
        <w:t>二</w:t>
      </w:r>
      <w:r>
        <w:rPr>
          <w:rFonts w:hint="eastAsia" w:ascii="宋体" w:hAnsi="宋体"/>
          <w:spacing w:val="2"/>
          <w:sz w:val="28"/>
          <w:szCs w:val="28"/>
        </w:rPr>
        <w:t>联：</w:t>
      </w:r>
      <w:r>
        <w:rPr>
          <w:rFonts w:hint="eastAsia" w:ascii="宋体" w:hAnsi="宋体"/>
          <w:spacing w:val="2"/>
          <w:sz w:val="28"/>
          <w:szCs w:val="28"/>
          <w:lang w:val="en-US" w:eastAsia="zh-CN"/>
        </w:rPr>
        <w:t>交当事人</w:t>
      </w:r>
      <w:r>
        <w:rPr>
          <w:rFonts w:hint="eastAsia" w:ascii="宋体" w:hAnsi="宋体"/>
          <w:spacing w:val="2"/>
          <w:sz w:val="28"/>
          <w:szCs w:val="28"/>
        </w:rPr>
        <w:t>（共二联）</w:t>
      </w:r>
      <w:bookmarkStart w:id="0" w:name="_GoBack"/>
      <w:bookmarkEnd w:id="0"/>
    </w:p>
    <w:sectPr>
      <w:pgSz w:w="11906" w:h="16838"/>
      <w:pgMar w:top="690" w:right="1020" w:bottom="808"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C47782"/>
    <w:rsid w:val="1FA6043E"/>
    <w:rsid w:val="3F850EA5"/>
    <w:rsid w:val="48C47782"/>
    <w:rsid w:val="4B2A5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Arial Unicode MS" w:hAnsi="Arial Unicode MS" w:eastAsia="Arial Unicode MS" w:cs="Arial Unicode MS"/>
      <w:b/>
      <w:bCs/>
      <w:kern w:val="36"/>
      <w:sz w:val="48"/>
      <w:szCs w:val="4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line="520" w:lineRule="exact"/>
      <w:ind w:firstLine="200" w:firstLineChars="200"/>
    </w:pPr>
    <w:rPr>
      <w:sz w:val="28"/>
      <w:szCs w:val="21"/>
    </w:rPr>
  </w:style>
  <w:style w:type="paragraph" w:styleId="4">
    <w:name w:val="Body Text"/>
    <w:basedOn w:val="3"/>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848</Words>
  <Characters>905</Characters>
  <Lines>0</Lines>
  <Paragraphs>0</Paragraphs>
  <TotalTime>2</TotalTime>
  <ScaleCrop>false</ScaleCrop>
  <LinksUpToDate>false</LinksUpToDate>
  <CharactersWithSpaces>1077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2025-11-07T01:06:00Z</dcterms:created>
  <dc:creator>蒙成凌</dc:creator>
  <cp:lastModifiedBy>芝蔴阿門</cp:lastModifiedBy>
  <dcterms:modified xsi:type="dcterms:W3CDTF">2025-12-18T02:27:32Z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524F787A0ADA4C5CB15C0A8B7C64BB1F</vt:lpwstr>
  </property>
  <property fmtid="{D5CDD505-2E9C-101B-9397-08002B2CF9AE}" pid="4" name="KSOTemplateDocerSaveRecord">
    <vt:lpwstr>eyJoZGlkIjoiMjRjMmIwN2JhY2U2OGYwZDk1MzkyNTcwZTk0ZTdlY2IiLCJ1c2VySWQiOiIyOTI2NjkwNzAifQ==</vt:lpwstr>
  </property>
</Properties>
</file>