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CA2E">
      <w:pPr>
        <w:widowControl/>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w:t>
      </w:r>
      <w:r>
        <w:rPr>
          <w:rFonts w:hint="eastAsia" w:ascii="方正小标宋简体" w:hAnsi="方正小标宋简体" w:eastAsia="方正小标宋简体" w:cs="方正小标宋简体"/>
          <w:bCs/>
          <w:sz w:val="32"/>
          <w:szCs w:val="32"/>
          <w:lang w:eastAsia="zh-CN"/>
        </w:rPr>
        <w:t>综合</w:t>
      </w:r>
      <w:r>
        <w:rPr>
          <w:rFonts w:hint="eastAsia" w:ascii="方正小标宋简体" w:hAnsi="方正小标宋简体" w:eastAsia="方正小标宋简体" w:cs="方正小标宋简体"/>
          <w:bCs/>
          <w:sz w:val="32"/>
          <w:szCs w:val="32"/>
        </w:rPr>
        <w:t>行政执法局</w:t>
      </w:r>
    </w:p>
    <w:p w14:paraId="39F06878">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739A4D9D">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rPr>
        <w:t>柳鱼峰</w:t>
      </w:r>
      <w:r>
        <w:rPr>
          <w:rFonts w:hint="eastAsia" w:ascii="仿宋_GB2312" w:hAnsi="仿宋" w:eastAsia="仿宋_GB2312" w:cs="仿宋"/>
          <w:sz w:val="28"/>
          <w:szCs w:val="28"/>
          <w:lang w:eastAsia="zh-CN"/>
        </w:rPr>
        <w:t>城管</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〔2025〕</w:t>
      </w:r>
      <w:r>
        <w:rPr>
          <w:rFonts w:hint="eastAsia" w:ascii="仿宋_GB2312" w:hAnsi="仿宋" w:eastAsia="仿宋_GB2312" w:cs="仿宋"/>
          <w:sz w:val="28"/>
          <w:szCs w:val="28"/>
        </w:rPr>
        <w:t>第</w:t>
      </w:r>
      <w:r>
        <w:rPr>
          <w:rFonts w:hint="eastAsia" w:ascii="仿宋_GB2312" w:hAnsi="仿宋" w:eastAsia="仿宋_GB2312" w:cs="仿宋"/>
          <w:sz w:val="28"/>
          <w:szCs w:val="28"/>
          <w:lang w:eastAsia="zh-CN"/>
        </w:rPr>
        <w:t>26002</w:t>
      </w:r>
      <w:r>
        <w:rPr>
          <w:rFonts w:hint="eastAsia" w:ascii="仿宋_GB2312" w:hAnsi="仿宋" w:eastAsia="仿宋_GB2312" w:cs="仿宋"/>
          <w:sz w:val="28"/>
          <w:szCs w:val="28"/>
        </w:rPr>
        <w:t xml:space="preserve">号 </w:t>
      </w:r>
    </w:p>
    <w:p w14:paraId="5DD725CD">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lang w:eastAsia="zh-CN"/>
        </w:rPr>
        <w:t>蓝继迪</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6CE9F42E">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柳石路374号天悦嘉园2栋2单元1-2号</w:t>
      </w:r>
    </w:p>
    <w:p w14:paraId="165A1B9E">
      <w:pPr>
        <w:keepNext w:val="0"/>
        <w:keepLines w:val="0"/>
        <w:pageBreakBefore w:val="0"/>
        <w:widowControl w:val="0"/>
        <w:kinsoku/>
        <w:wordWrap/>
        <w:overflowPunct w:val="0"/>
        <w:topLinePunct w:val="0"/>
        <w:autoSpaceDE/>
        <w:autoSpaceDN/>
        <w:bidi w:val="0"/>
        <w:adjustRightInd w:val="0"/>
        <w:snapToGrid w:val="0"/>
        <w:spacing w:before="290" w:line="380" w:lineRule="exact"/>
        <w:textAlignment w:val="auto"/>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u w:val="single"/>
          <w:lang w:eastAsia="zh-CN"/>
        </w:rPr>
        <w:t>蓝继迪</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70978DF7">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1月3日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w:t>
      </w:r>
      <w:r>
        <w:rPr>
          <w:rFonts w:hint="eastAsia" w:eastAsia="仿宋_GB2312" w:cs="Times New Roman"/>
          <w:color w:val="000000"/>
          <w:sz w:val="28"/>
          <w:szCs w:val="28"/>
          <w:u w:val="single"/>
          <w:lang w:val="en-US" w:eastAsia="zh-CN"/>
        </w:rPr>
        <w:t>经许可擅自建设房屋的</w:t>
      </w:r>
      <w:r>
        <w:rPr>
          <w:rFonts w:hint="default" w:ascii="Times New Roman" w:hAnsi="Times New Roman" w:eastAsia="仿宋_GB2312" w:cs="Times New Roman"/>
          <w:color w:val="000000"/>
          <w:sz w:val="28"/>
          <w:szCs w:val="28"/>
        </w:rPr>
        <w:t>行为予以立案调查。</w:t>
      </w:r>
    </w:p>
    <w:p w14:paraId="626A3FBF">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1月3日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eastAsia="仿宋_GB2312" w:cs="Times New Roman"/>
          <w:color w:val="000000"/>
          <w:sz w:val="28"/>
          <w:szCs w:val="28"/>
          <w:u w:val="none"/>
          <w:lang w:val="en-US" w:eastAsia="zh-CN"/>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柳石路374号天悦嘉园2栋2单元1-2号</w:t>
      </w:r>
      <w:r>
        <w:rPr>
          <w:rFonts w:hint="eastAsia" w:ascii="仿宋_GB2312" w:eastAsia="仿宋_GB2312"/>
          <w:sz w:val="28"/>
          <w:u w:val="single"/>
          <w:lang w:val="en-US" w:eastAsia="zh-CN"/>
        </w:rPr>
        <w:t>旁</w:t>
      </w:r>
      <w:r>
        <w:rPr>
          <w:rFonts w:hint="eastAsia" w:ascii="仿宋_GB2312" w:eastAsia="仿宋_GB2312"/>
          <w:sz w:val="28"/>
          <w:u w:val="single"/>
          <w:lang w:eastAsia="zh-CN"/>
        </w:rPr>
        <w:t>建设一层钢架结构房屋（建设面积为3.53平方米）一处及砖混结构构筑物一处</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default" w:ascii="Times New Roman" w:hAnsi="Times New Roman"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3E42D69F">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6008F06B">
      <w:pPr>
        <w:keepNext w:val="0"/>
        <w:keepLines w:val="0"/>
        <w:pageBreakBefore w:val="0"/>
        <w:widowControl w:val="0"/>
        <w:kinsoku/>
        <w:wordWrap/>
        <w:overflowPunct w:val="0"/>
        <w:topLinePunct w:val="0"/>
        <w:autoSpaceDE/>
        <w:autoSpaceDN/>
        <w:bidi w:val="0"/>
        <w:adjustRightInd w:val="0"/>
        <w:snapToGrid w:val="0"/>
        <w:spacing w:line="38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17D74493">
      <w:pPr>
        <w:keepNext w:val="0"/>
        <w:keepLines w:val="0"/>
        <w:pageBreakBefore w:val="0"/>
        <w:widowControl w:val="0"/>
        <w:kinsoku/>
        <w:wordWrap/>
        <w:overflowPunct w:val="0"/>
        <w:topLinePunct w:val="0"/>
        <w:autoSpaceDE/>
        <w:autoSpaceDN/>
        <w:bidi w:val="0"/>
        <w:adjustRightInd w:val="0"/>
        <w:snapToGrid w:val="0"/>
        <w:spacing w:line="38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350EDD9E">
      <w:pPr>
        <w:pStyle w:val="2"/>
        <w:keepNext w:val="0"/>
        <w:keepLines w:val="0"/>
        <w:pageBreakBefore w:val="0"/>
        <w:widowControl w:val="0"/>
        <w:kinsoku/>
        <w:wordWrap/>
        <w:topLinePunct w:val="0"/>
        <w:autoSpaceDE/>
        <w:autoSpaceDN/>
        <w:bidi w:val="0"/>
        <w:spacing w:after="0" w:line="380" w:lineRule="exact"/>
        <w:ind w:right="0" w:firstLine="525"/>
        <w:textAlignment w:val="auto"/>
        <w:rPr>
          <w:rFonts w:hint="default" w:ascii="Times New Roman" w:hAnsi="Times New Roman" w:eastAsia="仿宋_GB2312" w:cs="Times New Roman"/>
          <w:b w:val="0"/>
          <w:bCs w:val="0"/>
          <w:color w:val="000000"/>
          <w:sz w:val="28"/>
          <w:szCs w:val="28"/>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sz w:val="28"/>
          <w:szCs w:val="28"/>
          <w:u w:val="single"/>
          <w:lang w:val="en-US" w:eastAsia="zh-CN"/>
        </w:rPr>
        <w:t>当事人身份证复印件</w:t>
      </w:r>
      <w:r>
        <w:rPr>
          <w:rFonts w:hint="default" w:ascii="Times New Roman" w:hAnsi="Times New Roman" w:eastAsia="仿宋_GB2312" w:cs="Times New Roman"/>
          <w:b w:val="0"/>
          <w:bCs w:val="0"/>
          <w:color w:val="000000"/>
          <w:sz w:val="28"/>
          <w:szCs w:val="28"/>
          <w:highlight w:val="none"/>
          <w:u w:val="none"/>
          <w:lang w:val="en-US" w:eastAsia="zh-CN"/>
        </w:rPr>
        <w:t>，</w:t>
      </w:r>
      <w:r>
        <w:rPr>
          <w:rFonts w:hint="eastAsia" w:eastAsia="仿宋_GB2312" w:cs="Times New Roman"/>
          <w:b w:val="0"/>
          <w:bCs w:val="0"/>
          <w:color w:val="000000"/>
          <w:sz w:val="28"/>
          <w:szCs w:val="28"/>
          <w:highlight w:val="none"/>
          <w:u w:val="none"/>
          <w:lang w:val="en-US" w:eastAsia="zh-CN"/>
        </w:rPr>
        <w:t>证明</w:t>
      </w:r>
      <w:r>
        <w:rPr>
          <w:rFonts w:hint="eastAsia" w:eastAsia="仿宋_GB2312" w:cs="Times New Roman"/>
          <w:b w:val="0"/>
          <w:bCs w:val="0"/>
          <w:color w:val="000000"/>
          <w:sz w:val="28"/>
          <w:szCs w:val="28"/>
          <w:highlight w:val="none"/>
          <w:u w:val="single"/>
          <w:lang w:val="en-US" w:eastAsia="zh-CN"/>
        </w:rPr>
        <w:t>当事人的身份信息</w:t>
      </w:r>
      <w:r>
        <w:rPr>
          <w:rFonts w:hint="default" w:ascii="Times New Roman" w:hAnsi="Times New Roman" w:eastAsia="仿宋_GB2312" w:cs="Times New Roman"/>
          <w:b w:val="0"/>
          <w:bCs w:val="0"/>
          <w:color w:val="000000"/>
          <w:sz w:val="28"/>
          <w:szCs w:val="28"/>
          <w:u w:val="none"/>
          <w:lang w:val="en-US" w:eastAsia="zh-CN"/>
        </w:rPr>
        <w:t>；</w:t>
      </w:r>
    </w:p>
    <w:p w14:paraId="03910440">
      <w:pPr>
        <w:keepNext w:val="0"/>
        <w:keepLines w:val="0"/>
        <w:pageBreakBefore w:val="0"/>
        <w:widowControl w:val="0"/>
        <w:kinsoku/>
        <w:wordWrap/>
        <w:overflowPunct w:val="0"/>
        <w:topLinePunct w:val="0"/>
        <w:autoSpaceDE/>
        <w:autoSpaceDN/>
        <w:bidi w:val="0"/>
        <w:adjustRightInd w:val="0"/>
        <w:snapToGrid w:val="0"/>
        <w:spacing w:line="38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224F06B6">
      <w:pPr>
        <w:keepNext w:val="0"/>
        <w:keepLines w:val="0"/>
        <w:pageBreakBefore w:val="0"/>
        <w:widowControl w:val="0"/>
        <w:kinsoku/>
        <w:wordWrap/>
        <w:overflowPunct w:val="0"/>
        <w:topLinePunct w:val="0"/>
        <w:autoSpaceDE/>
        <w:autoSpaceDN/>
        <w:bidi w:val="0"/>
        <w:adjustRightInd w:val="0"/>
        <w:snapToGrid w:val="0"/>
        <w:spacing w:line="380" w:lineRule="exact"/>
        <w:ind w:right="28" w:firstLine="560" w:firstLineChars="200"/>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五</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3BCFBCC3">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2025</w:t>
      </w:r>
      <w:r>
        <w:rPr>
          <w:rFonts w:hint="default" w:ascii="Times New Roman" w:hAnsi="Times New Roman" w:eastAsia="仿宋_GB2312" w:cs="Times New Roman"/>
          <w:color w:val="000000"/>
          <w:sz w:val="28"/>
          <w:szCs w:val="28"/>
          <w:u w:val="single"/>
        </w:rPr>
        <w:t>年</w:t>
      </w:r>
      <w:r>
        <w:rPr>
          <w:rFonts w:hint="eastAsia" w:ascii="Times New Roman" w:hAnsi="Times New Roman" w:eastAsia="仿宋_GB2312" w:cs="Times New Roman"/>
          <w:color w:val="000000"/>
          <w:sz w:val="28"/>
          <w:szCs w:val="28"/>
          <w:u w:val="single"/>
          <w:lang w:val="en-US" w:eastAsia="zh-CN"/>
        </w:rPr>
        <w:t>2</w:t>
      </w:r>
      <w:r>
        <w:rPr>
          <w:rFonts w:hint="default" w:ascii="Times New Roman" w:hAnsi="Times New Roman" w:eastAsia="仿宋_GB2312" w:cs="Times New Roman"/>
          <w:color w:val="000000"/>
          <w:sz w:val="28"/>
          <w:szCs w:val="28"/>
          <w:u w:val="single"/>
        </w:rPr>
        <w:t>月</w:t>
      </w:r>
      <w:r>
        <w:rPr>
          <w:rFonts w:hint="eastAsia" w:ascii="Times New Roman" w:hAnsi="Times New Roman" w:eastAsia="仿宋_GB2312" w:cs="Times New Roman"/>
          <w:color w:val="000000"/>
          <w:sz w:val="28"/>
          <w:szCs w:val="28"/>
          <w:u w:val="single"/>
          <w:lang w:val="en-US" w:eastAsia="zh-CN"/>
        </w:rPr>
        <w:t>24</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default" w:ascii="Times New Roman" w:hAnsi="Times New Roman" w:eastAsia="仿宋_GB2312" w:cs="Times New Roman"/>
          <w:color w:val="000000"/>
          <w:sz w:val="28"/>
          <w:szCs w:val="28"/>
          <w:u w:val="single"/>
          <w:lang w:val="en-US" w:eastAsia="zh-CN"/>
        </w:rPr>
        <w:t>柳鱼峰城管责拆告字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26002</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4F456FE3">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jc w:val="both"/>
        <w:textAlignment w:val="auto"/>
        <w:rPr>
          <w:rFonts w:hint="eastAsia" w:eastAsia="仿宋_GB2312"/>
          <w:sz w:val="28"/>
          <w:szCs w:val="28"/>
          <w:lang w:val="en-US" w:eastAsia="zh-CN"/>
        </w:rPr>
      </w:pPr>
      <w:r>
        <w:rPr>
          <w:rFonts w:hint="eastAsia" w:eastAsia="仿宋_GB2312" w:cs="Times New Roman"/>
          <w:color w:val="000000"/>
          <w:sz w:val="28"/>
          <w:szCs w:val="28"/>
          <w:lang w:val="en-US" w:eastAsia="zh-CN"/>
        </w:rPr>
        <w:t>2025年2月27日，当事人通过邮寄的方式提交了一份《陈述书》，其认为本机关：</w:t>
      </w:r>
      <w:r>
        <w:rPr>
          <w:rFonts w:hint="eastAsia" w:eastAsia="仿宋_GB2312"/>
          <w:sz w:val="28"/>
          <w:szCs w:val="28"/>
          <w:lang w:val="en-US" w:eastAsia="zh-CN"/>
        </w:rPr>
        <w:t>引用法规不当，过度执法。让其整改的项目不是城市、镇规划区工程项目建设，而是小区房屋装修。所装修均未超出其使用范围（含开发商赠送面积），不影响环境及他人公共利益，而是安全防护措施和美化人居生活；未发现有政府部门要求装修需要办理许可证；执法主体、程序不合法。城乡规划法第六十四条、第六十八条已经明文规定城镇规划工程项目由城乡规划部门许可和执法。未发现鱼峰区城乡规划部门对小区房屋装修要求设计规划。据第四十条也仅应当而不是必须。执法人员亮完证后即离开，过了1个多月才在网上拼凑一个法规让本人整改，其认为不合法。</w:t>
      </w:r>
    </w:p>
    <w:p w14:paraId="789E98CF">
      <w:pPr>
        <w:keepNext w:val="0"/>
        <w:keepLines w:val="0"/>
        <w:pageBreakBefore w:val="0"/>
        <w:widowControl w:val="0"/>
        <w:kinsoku/>
        <w:wordWrap/>
        <w:overflowPunct w:val="0"/>
        <w:topLinePunct w:val="0"/>
        <w:autoSpaceDE/>
        <w:autoSpaceDN/>
        <w:bidi w:val="0"/>
        <w:adjustRightInd w:val="0"/>
        <w:snapToGrid w:val="0"/>
        <w:spacing w:line="380" w:lineRule="exact"/>
        <w:ind w:right="28" w:firstLine="560"/>
        <w:jc w:val="center"/>
        <w:textAlignment w:val="auto"/>
        <w:rPr>
          <w:rFonts w:hint="eastAsia" w:ascii="仿宋_GB2312" w:hAnsi="仿宋_GB2312" w:eastAsia="仿宋_GB2312" w:cs="仿宋_GB2312"/>
          <w:i w:val="0"/>
          <w:iCs w:val="0"/>
          <w:caps w:val="0"/>
          <w:color w:val="111111"/>
          <w:spacing w:val="0"/>
          <w:sz w:val="28"/>
          <w:szCs w:val="28"/>
          <w:shd w:val="clear" w:fill="FFFFFF"/>
        </w:rPr>
      </w:pPr>
      <w:r>
        <w:rPr>
          <w:rFonts w:hint="eastAsia" w:eastAsia="仿宋_GB2312"/>
          <w:sz w:val="28"/>
          <w:szCs w:val="28"/>
          <w:lang w:val="en-US" w:eastAsia="zh-CN"/>
        </w:rPr>
        <w:t>对你所陈述、申辩内容，本机经复核后认为：1、根据</w:t>
      </w:r>
      <w:r>
        <w:rPr>
          <w:rFonts w:hint="eastAsia" w:eastAsia="仿宋_GB2312"/>
          <w:sz w:val="28"/>
          <w:szCs w:val="28"/>
        </w:rPr>
        <w:t>《住宅室内装饰装修管理办法》</w:t>
      </w:r>
      <w:r>
        <w:rPr>
          <w:rFonts w:hint="eastAsia" w:eastAsia="仿宋_GB2312"/>
          <w:sz w:val="28"/>
          <w:szCs w:val="28"/>
          <w:lang w:val="en-US" w:eastAsia="zh-CN"/>
        </w:rPr>
        <w:t>第六条、第十三条第一款、第三十九条规定，装修人在住宅内装饰装修工程开工前，应当向物业管理单位申报登记，装修人从事住宅室内装饰装修活动未经城市规划行政主管部门批准搭建建筑物、构筑物的，由城市规划行政主管部门按照《中华人民共和国城乡规划法》及相关法规的规定处罚，对你的建设行为本机关未查询到装修申报登记信息及相关的《建设工程规划许可证》；2、2005年8月广西壮族自治区人民政府已经批准我市开展城市管理相对集中行政处罚权工</w:t>
      </w:r>
    </w:p>
    <w:p w14:paraId="61FB844E">
      <w:pPr>
        <w:keepNext w:val="0"/>
        <w:keepLines w:val="0"/>
        <w:pageBreakBefore w:val="0"/>
        <w:widowControl w:val="0"/>
        <w:kinsoku/>
        <w:wordWrap/>
        <w:overflowPunct w:val="0"/>
        <w:topLinePunct w:val="0"/>
        <w:autoSpaceDE/>
        <w:autoSpaceDN/>
        <w:bidi w:val="0"/>
        <w:adjustRightInd w:val="0"/>
        <w:snapToGrid w:val="0"/>
        <w:spacing w:line="380" w:lineRule="exact"/>
        <w:ind w:right="28"/>
        <w:jc w:val="both"/>
        <w:textAlignment w:val="auto"/>
        <w:rPr>
          <w:rFonts w:hint="default" w:ascii="仿宋_GB2312" w:hAnsi="仿宋_GB2312" w:eastAsia="仿宋_GB2312" w:cs="仿宋_GB2312"/>
          <w:sz w:val="28"/>
          <w:szCs w:val="28"/>
          <w:lang w:val="en-US" w:eastAsia="zh-CN"/>
        </w:rPr>
      </w:pPr>
      <w:r>
        <w:rPr>
          <w:rFonts w:hint="eastAsia" w:eastAsia="仿宋_GB2312"/>
          <w:sz w:val="28"/>
          <w:szCs w:val="28"/>
          <w:lang w:val="en-US" w:eastAsia="zh-CN"/>
        </w:rPr>
        <w:t>工作，其中包含行使城市规划管理方面法律、法规、规章规定的对未经规划部门审批的建筑物、构筑物或者其它设施以及不按批准的规划许可建设的建筑物、构筑物的行为。因此，本机关有权对违法建设进行查处</w:t>
      </w:r>
      <w:r>
        <w:rPr>
          <w:rFonts w:hint="eastAsia" w:ascii="仿宋_GB2312" w:hAnsi="仿宋_GB2312" w:eastAsia="仿宋_GB2312" w:cs="仿宋_GB2312"/>
          <w:i w:val="0"/>
          <w:iCs w:val="0"/>
          <w:caps w:val="0"/>
          <w:color w:val="111111"/>
          <w:spacing w:val="0"/>
          <w:sz w:val="28"/>
          <w:szCs w:val="28"/>
          <w:shd w:val="clear" w:fill="FFFFFF"/>
          <w:lang w:eastAsia="zh-CN"/>
        </w:rPr>
        <w:t>；</w:t>
      </w:r>
      <w:r>
        <w:rPr>
          <w:rFonts w:hint="eastAsia" w:ascii="仿宋_GB2312" w:hAnsi="仿宋_GB2312" w:eastAsia="仿宋_GB2312" w:cs="仿宋_GB2312"/>
          <w:i w:val="0"/>
          <w:iCs w:val="0"/>
          <w:caps w:val="0"/>
          <w:color w:val="111111"/>
          <w:spacing w:val="0"/>
          <w:sz w:val="28"/>
          <w:szCs w:val="28"/>
          <w:shd w:val="clear" w:fill="FFFFFF"/>
          <w:lang w:val="en-US" w:eastAsia="zh-CN"/>
        </w:rPr>
        <w:t>3、调查结束后，执法人员多次上门均未能联系到你，本机关依法于2025年2月24日将《柳州市鱼峰区综合行政执法局责令限期拆除告知书》（柳鱼峰城管责拆告字(2025)第26002号）张贴在柳石路374号天悦嘉园2栋2单元1-2号门口，并按相关规定在广西柳州市鱼峰区人民政府门户网站将该告知书进行公告。</w:t>
      </w:r>
    </w:p>
    <w:p w14:paraId="1F7B6495">
      <w:pPr>
        <w:keepNext w:val="0"/>
        <w:keepLines w:val="0"/>
        <w:pageBreakBefore w:val="0"/>
        <w:widowControl/>
        <w:kinsoku/>
        <w:wordWrap/>
        <w:topLinePunct w:val="0"/>
        <w:autoSpaceDE/>
        <w:autoSpaceDN/>
        <w:bidi w:val="0"/>
        <w:spacing w:line="380" w:lineRule="exact"/>
        <w:ind w:firstLine="560" w:firstLineChars="200"/>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你未经许可擅自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柳石路374号天悦嘉园2栋2单元1-2号建设一层钢架结构房屋（建设面积为3.53平方米）一处及砖混结构构筑物一处</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19F44BD">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w:t>
      </w:r>
      <w:r>
        <w:rPr>
          <w:rFonts w:hint="eastAsia" w:ascii="仿宋_GB2312" w:eastAsia="仿宋_GB2312"/>
          <w:sz w:val="28"/>
          <w:u w:val="single"/>
          <w:lang w:eastAsia="zh-CN"/>
        </w:rPr>
        <w:t>建设一层钢架结构房屋（建设面积为3.53平方米）一处及砖混结构构筑物一处</w:t>
      </w:r>
      <w:r>
        <w:rPr>
          <w:rFonts w:hint="default" w:ascii="Times New Roman" w:hAnsi="Times New Roman" w:eastAsia="仿宋_GB2312" w:cs="Times New Roman"/>
          <w:color w:val="auto"/>
          <w:sz w:val="28"/>
          <w:szCs w:val="28"/>
          <w:u w:val="single"/>
          <w:lang w:eastAsia="zh-CN"/>
        </w:rPr>
        <w:t>，且</w:t>
      </w:r>
      <w:r>
        <w:rPr>
          <w:rFonts w:hint="default" w:ascii="Times New Roman" w:hAnsi="Times New Roman" w:eastAsia="仿宋_GB2312" w:cs="Times New Roman"/>
          <w:color w:val="auto"/>
          <w:sz w:val="28"/>
          <w:szCs w:val="28"/>
          <w:u w:val="single"/>
          <w:lang w:val="en-US" w:eastAsia="zh-CN"/>
        </w:rPr>
        <w:t>无法采取改正措施消除影响</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000000"/>
          <w:sz w:val="28"/>
          <w:szCs w:val="28"/>
        </w:rPr>
        <w:t>故依据</w:t>
      </w:r>
      <w:r>
        <w:rPr>
          <w:rFonts w:hint="default" w:ascii="Times New Roman" w:hAnsi="Times New Roman" w:eastAsia="仿宋_GB2312" w:cs="Times New Roman"/>
          <w:strike w:val="0"/>
          <w:dstrike w:val="0"/>
          <w:color w:val="auto"/>
          <w:sz w:val="28"/>
          <w:szCs w:val="28"/>
          <w:u w:val="none"/>
        </w:rPr>
        <w:t>《广西住房城乡建设行政处罚自由裁量基准（</w:t>
      </w:r>
      <w:r>
        <w:rPr>
          <w:rFonts w:hint="eastAsia" w:eastAsia="仿宋_GB2312" w:cs="Times New Roman"/>
          <w:strike w:val="0"/>
          <w:dstrike w:val="0"/>
          <w:color w:val="auto"/>
          <w:sz w:val="28"/>
          <w:szCs w:val="28"/>
          <w:u w:val="none"/>
          <w:lang w:eastAsia="zh-CN"/>
        </w:rPr>
        <w:t>202</w:t>
      </w:r>
      <w:r>
        <w:rPr>
          <w:rFonts w:hint="eastAsia" w:eastAsia="仿宋_GB2312" w:cs="Times New Roman"/>
          <w:strike w:val="0"/>
          <w:dstrike w:val="0"/>
          <w:color w:val="auto"/>
          <w:sz w:val="28"/>
          <w:szCs w:val="28"/>
          <w:u w:val="none"/>
          <w:lang w:val="en-US" w:eastAsia="zh-CN"/>
        </w:rPr>
        <w:t>3</w:t>
      </w:r>
      <w:r>
        <w:rPr>
          <w:rFonts w:hint="default" w:ascii="Times New Roman" w:hAnsi="Times New Roman" w:eastAsia="仿宋_GB2312" w:cs="Times New Roman"/>
          <w:strike w:val="0"/>
          <w:dstrike w:val="0"/>
          <w:color w:val="auto"/>
          <w:sz w:val="28"/>
          <w:szCs w:val="28"/>
          <w:u w:val="none"/>
        </w:rPr>
        <w:t>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违法建筑面积在三百平方米以下，</w:t>
      </w:r>
      <w:r>
        <w:rPr>
          <w:rFonts w:hint="default" w:ascii="Times New Roman" w:hAnsi="Times New Roman" w:eastAsia="仿宋_GB2312"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6D6D90F2">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0193A29A">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5C5E8DFD">
      <w:pPr>
        <w:keepNext w:val="0"/>
        <w:keepLines w:val="0"/>
        <w:pageBreakBefore w:val="0"/>
        <w:widowControl w:val="0"/>
        <w:kinsoku/>
        <w:wordWrap/>
        <w:overflowPunct w:val="0"/>
        <w:topLinePunct w:val="0"/>
        <w:autoSpaceDE/>
        <w:autoSpaceDN/>
        <w:bidi w:val="0"/>
        <w:adjustRightInd w:val="0"/>
        <w:snapToGrid w:val="0"/>
        <w:spacing w:line="380" w:lineRule="exact"/>
        <w:ind w:right="28" w:firstLine="458" w:firstLineChars="191"/>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4"/>
          <w:szCs w:val="24"/>
        </w:rPr>
        <w:sym w:font="Wingdings" w:char="00A8"/>
      </w:r>
      <w:r>
        <w:rPr>
          <w:rFonts w:hint="default" w:ascii="Times New Roman" w:hAnsi="Times New Roman" w:eastAsia="仿宋_GB2312" w:cs="Times New Roman"/>
          <w:color w:val="auto"/>
          <w:sz w:val="24"/>
          <w:szCs w:val="24"/>
        </w:rPr>
        <w:t>该处罚信息将被归集公示到“信用中国”网站（https://www.creditchina.gov.cn/）和国家企业信用信息公示系统</w:t>
      </w:r>
      <w:r>
        <w:rPr>
          <w:rFonts w:hint="default" w:ascii="Times New Roman" w:hAnsi="Times New Roman" w:eastAsia="仿宋_GB2312" w:cs="Times New Roman"/>
          <w:color w:val="auto"/>
          <w:sz w:val="28"/>
          <w:szCs w:val="28"/>
          <w:lang w:eastAsia="zh-CN"/>
        </w:rPr>
        <w:t>。</w:t>
      </w:r>
    </w:p>
    <w:p w14:paraId="28C8D117">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eastAsia" w:eastAsia="仿宋_GB2312" w:cs="Times New Roman"/>
          <w:color w:val="060606"/>
          <w:sz w:val="28"/>
          <w:szCs w:val="28"/>
          <w:u w:val="single"/>
          <w:lang w:eastAsia="zh-CN"/>
        </w:rPr>
        <w:t>鱼峰中队 黄海涛、郑美欣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07722020684</w:t>
      </w:r>
      <w:r>
        <w:rPr>
          <w:rFonts w:hint="eastAsia" w:ascii="Times New Roman" w:hAnsi="Times New Roman" w:eastAsia="仿宋_GB2312" w:cs="Times New Roman"/>
          <w:color w:val="060606"/>
          <w:sz w:val="28"/>
          <w:szCs w:val="28"/>
          <w:u w:val="single"/>
          <w:lang w:val="en-US" w:eastAsia="zh-CN"/>
        </w:rPr>
        <w:t xml:space="preserve"> </w:t>
      </w:r>
    </w:p>
    <w:p w14:paraId="0DECB024">
      <w:pPr>
        <w:keepNext w:val="0"/>
        <w:keepLines w:val="0"/>
        <w:pageBreakBefore w:val="0"/>
        <w:widowControl w:val="0"/>
        <w:kinsoku/>
        <w:wordWrap/>
        <w:overflowPunct w:val="0"/>
        <w:topLinePunct w:val="0"/>
        <w:autoSpaceDE/>
        <w:autoSpaceDN/>
        <w:bidi w:val="0"/>
        <w:adjustRightInd w:val="0"/>
        <w:snapToGrid w:val="0"/>
        <w:spacing w:line="3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eastAsia="zh-CN"/>
        </w:rPr>
        <w:t>荣军路东三巷口（原荣军路形象展示中心）</w:t>
      </w:r>
    </w:p>
    <w:p w14:paraId="24A27917">
      <w:pPr>
        <w:pStyle w:val="2"/>
        <w:rPr>
          <w:rFonts w:hint="eastAsia"/>
          <w:lang w:eastAsia="zh-CN"/>
        </w:rPr>
      </w:pPr>
    </w:p>
    <w:p w14:paraId="0EAC30D8">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179AE41F">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五</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eastAsia="zh-CN"/>
        </w:rPr>
        <w:t>八</w:t>
      </w:r>
      <w:r>
        <w:rPr>
          <w:rFonts w:hint="default" w:ascii="Times New Roman" w:hAnsi="Times New Roman" w:eastAsia="仿宋_GB2312" w:cs="Times New Roman"/>
          <w:color w:val="auto"/>
          <w:sz w:val="28"/>
          <w:szCs w:val="28"/>
        </w:rPr>
        <w:t>日</w:t>
      </w:r>
    </w:p>
    <w:p w14:paraId="1E52ABC3">
      <w:pPr>
        <w:keepNext w:val="0"/>
        <w:keepLines w:val="0"/>
        <w:pageBreakBefore w:val="0"/>
        <w:widowControl w:val="0"/>
        <w:kinsoku/>
        <w:wordWrap/>
        <w:overflowPunct w:val="0"/>
        <w:topLinePunct w:val="0"/>
        <w:autoSpaceDE/>
        <w:autoSpaceDN/>
        <w:bidi w:val="0"/>
        <w:adjustRightInd/>
        <w:snapToGrid w:val="0"/>
        <w:spacing w:after="145" w:line="600" w:lineRule="exact"/>
        <w:jc w:val="right"/>
        <w:textAlignment w:val="auto"/>
        <w:outlineLvl w:val="0"/>
      </w:pPr>
      <w:bookmarkStart w:id="0" w:name="_GoBack"/>
      <w:bookmarkEnd w:id="0"/>
      <w:r>
        <w:rPr>
          <w:rFonts w:hint="default" w:ascii="Times New Roman" w:hAnsi="Times New Roman" w:eastAsia="仿宋_GB2312" w:cs="Times New Roman"/>
          <w:color w:val="auto"/>
          <w:sz w:val="24"/>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128905</wp:posOffset>
                </wp:positionV>
                <wp:extent cx="6257290" cy="635"/>
                <wp:effectExtent l="0" t="0" r="0" b="0"/>
                <wp:wrapNone/>
                <wp:docPr id="45" name="直接连接符 45"/>
                <wp:cNvGraphicFramePr/>
                <a:graphic xmlns:a="http://schemas.openxmlformats.org/drawingml/2006/main">
                  <a:graphicData uri="http://schemas.microsoft.com/office/word/2010/wordprocessingShape">
                    <wps:wsp>
                      <wps:cNvCnPr/>
                      <wps:spPr>
                        <a:xfrm flipV="1">
                          <a:off x="0" y="0"/>
                          <a:ext cx="625729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25pt;margin-top:10.15pt;height:0.05pt;width:492.7pt;z-index:251660288;mso-width-relative:page;mso-height-relative:page;" filled="f" stroked="t" coordsize="21600,21600" o:gfxdata="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72mI1AAAAAcBAAAPAAAAAAAAAAEAIAAAACIAAABkcnMvZG93bnJl&#10;di54bWxQSwECFAAUAAAACACHTuJASR8a2gECAADzAwAADgAAAAAAAAABACAAAAAjAQAAZHJzL2Uy&#10;b0RvYy54bWxQSwUGAAAAAAYABgBZAQAAlg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sectPr>
      <w:footerReference r:id="rId3" w:type="default"/>
      <w:pgSz w:w="11906" w:h="16838"/>
      <w:pgMar w:top="720" w:right="884" w:bottom="720" w:left="11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E983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9044EB">
                          <w:pPr>
                            <w:pStyle w:val="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9044EB">
                    <w:pPr>
                      <w:pStyle w:val="5"/>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w:t>
                    </w:r>
                    <w:r>
                      <w:rPr>
                        <w:sz w:val="21"/>
                        <w:szCs w:val="21"/>
                      </w:rPr>
                      <w:fldChar w:fldCharType="end"/>
                    </w:r>
                    <w:r>
                      <w:rPr>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3821"/>
    <w:rsid w:val="052638B7"/>
    <w:rsid w:val="052A2C92"/>
    <w:rsid w:val="06A131EF"/>
    <w:rsid w:val="10976ADA"/>
    <w:rsid w:val="14733BAA"/>
    <w:rsid w:val="1CCB4D66"/>
    <w:rsid w:val="22BF4DBE"/>
    <w:rsid w:val="259E7E62"/>
    <w:rsid w:val="289C48A6"/>
    <w:rsid w:val="29F85021"/>
    <w:rsid w:val="2F690C3A"/>
    <w:rsid w:val="2F9D05B7"/>
    <w:rsid w:val="3AFB676A"/>
    <w:rsid w:val="455F10C3"/>
    <w:rsid w:val="4B21471B"/>
    <w:rsid w:val="509B610E"/>
    <w:rsid w:val="53EA7B94"/>
    <w:rsid w:val="54CE6459"/>
    <w:rsid w:val="58E74EE2"/>
    <w:rsid w:val="593416EA"/>
    <w:rsid w:val="64646841"/>
    <w:rsid w:val="69BA5985"/>
    <w:rsid w:val="6BEA6D20"/>
    <w:rsid w:val="795D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1912</Words>
  <Characters>2033</Characters>
  <Lines>0</Lines>
  <Paragraphs>0</Paragraphs>
  <TotalTime>6</TotalTime>
  <ScaleCrop>false</ScaleCrop>
  <LinksUpToDate>false</LinksUpToDate>
  <CharactersWithSpaces>2137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2025-12-09T07:18:00Z</dcterms:created>
  <dc:creator>Administrator</dc:creator>
  <cp:lastModifiedBy>芝蔴阿門</cp:lastModifiedBy>
  <dcterms:modified xsi:type="dcterms:W3CDTF">2025-12-22T03:39:58Z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6B3610BBF62C4724AF4D1DA52A4E7B26</vt:lpwstr>
  </property>
  <property fmtid="{D5CDD505-2E9C-101B-9397-08002B2CF9AE}" pid="4" name="KSOTemplateDocerSaveRecord">
    <vt:lpwstr>eyJoZGlkIjoiMjRjMmIwN2JhY2U2OGYwZDk1MzkyNTcwZTk0ZTdlY2IiLCJ1c2VySWQiOiIyOTI2NjkwNzAifQ==</vt:lpwstr>
  </property>
</Properties>
</file>