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60" w:lineRule="auto"/>
        <w:ind w:left="110" w:leftChars="50" w:right="110" w:rightChars="50" w:firstLine="560" w:firstLineChars="200"/>
        <w:rPr>
          <w:rFonts w:ascii="仿宋" w:hAnsi="仿宋" w:eastAsia="仿宋"/>
          <w:sz w:val="28"/>
          <w:szCs w:val="28"/>
          <w:highlight w:val="none"/>
          <w:lang w:eastAsia="zh-CN"/>
        </w:rPr>
      </w:pPr>
    </w:p>
    <w:p>
      <w:pPr>
        <w:pStyle w:val="2"/>
        <w:spacing w:before="0" w:after="0" w:line="360" w:lineRule="auto"/>
        <w:ind w:left="110" w:leftChars="50" w:right="110" w:rightChars="50" w:firstLine="560" w:firstLineChars="200"/>
        <w:rPr>
          <w:rFonts w:ascii="仿宋" w:hAnsi="仿宋" w:eastAsia="仿宋"/>
          <w:sz w:val="28"/>
          <w:szCs w:val="28"/>
          <w:highlight w:val="none"/>
          <w:lang w:eastAsia="zh-CN"/>
        </w:rPr>
      </w:pPr>
    </w:p>
    <w:p>
      <w:pPr>
        <w:rPr>
          <w:highlight w:val="none"/>
          <w:lang w:eastAsia="zh-CN"/>
        </w:rPr>
      </w:pPr>
    </w:p>
    <w:p>
      <w:pPr>
        <w:rPr>
          <w:highlight w:val="none"/>
          <w:lang w:eastAsia="zh-CN"/>
        </w:rPr>
      </w:pPr>
    </w:p>
    <w:p>
      <w:pPr>
        <w:rPr>
          <w:highlight w:val="none"/>
          <w:lang w:eastAsia="zh-CN"/>
        </w:rPr>
      </w:pPr>
    </w:p>
    <w:p>
      <w:pPr>
        <w:rPr>
          <w:highlight w:val="none"/>
          <w:lang w:eastAsia="zh-CN"/>
        </w:rPr>
      </w:pPr>
    </w:p>
    <w:p>
      <w:pPr>
        <w:rPr>
          <w:highlight w:val="none"/>
          <w:lang w:eastAsia="zh-CN"/>
        </w:rPr>
      </w:pPr>
    </w:p>
    <w:p>
      <w:pPr>
        <w:rPr>
          <w:highlight w:val="none"/>
          <w:lang w:eastAsia="zh-CN"/>
        </w:rPr>
      </w:pPr>
    </w:p>
    <w:p>
      <w:pPr>
        <w:pStyle w:val="2"/>
        <w:spacing w:before="0" w:after="0" w:line="360" w:lineRule="auto"/>
        <w:ind w:left="110" w:leftChars="50" w:right="110" w:rightChars="50"/>
        <w:jc w:val="center"/>
        <w:rPr>
          <w:rFonts w:ascii="宋体" w:hAnsi="宋体" w:eastAsia="宋体"/>
          <w:color w:val="auto"/>
          <w:sz w:val="44"/>
          <w:szCs w:val="44"/>
          <w:highlight w:val="none"/>
          <w:lang w:eastAsia="zh-CN"/>
        </w:rPr>
      </w:pPr>
      <w:bookmarkStart w:id="0" w:name="_Toc3539"/>
      <w:bookmarkStart w:id="1" w:name="_Toc16238"/>
      <w:r>
        <w:rPr>
          <w:rFonts w:hint="eastAsia" w:ascii="宋体" w:hAnsi="宋体" w:eastAsia="宋体"/>
          <w:color w:val="auto"/>
          <w:sz w:val="44"/>
          <w:szCs w:val="44"/>
          <w:highlight w:val="none"/>
          <w:lang w:val="en-US" w:eastAsia="zh-CN"/>
        </w:rPr>
        <w:t>柳州市</w:t>
      </w:r>
      <w:r>
        <w:rPr>
          <w:rFonts w:hint="eastAsia" w:ascii="宋体" w:hAnsi="宋体" w:eastAsia="宋体"/>
          <w:color w:val="auto"/>
          <w:sz w:val="44"/>
          <w:szCs w:val="44"/>
          <w:highlight w:val="none"/>
          <w:lang w:eastAsia="zh-CN"/>
        </w:rPr>
        <w:t>鱼峰区乡村地区“通则式”规划管理规定</w:t>
      </w:r>
      <w:bookmarkEnd w:id="0"/>
    </w:p>
    <w:bookmarkEnd w:id="1"/>
    <w:p>
      <w:pPr>
        <w:pStyle w:val="2"/>
        <w:spacing w:before="0" w:after="0" w:line="360" w:lineRule="auto"/>
        <w:ind w:left="110" w:leftChars="50" w:right="110" w:rightChars="50"/>
        <w:jc w:val="center"/>
        <w:rPr>
          <w:rFonts w:ascii="宋体" w:hAnsi="宋体" w:eastAsia="宋体"/>
          <w:color w:val="auto"/>
          <w:sz w:val="44"/>
          <w:szCs w:val="44"/>
          <w:highlight w:val="none"/>
          <w:lang w:eastAsia="zh-CN"/>
        </w:rPr>
      </w:pPr>
      <w:bookmarkStart w:id="61" w:name="_GoBack"/>
      <w:bookmarkEnd w:id="61"/>
    </w:p>
    <w:p>
      <w:pPr>
        <w:pStyle w:val="2"/>
        <w:spacing w:before="0" w:after="0" w:line="360" w:lineRule="auto"/>
        <w:ind w:left="110" w:leftChars="50" w:right="110" w:rightChars="50"/>
        <w:jc w:val="center"/>
        <w:rPr>
          <w:rFonts w:hint="eastAsia" w:ascii="宋体" w:hAnsi="宋体" w:eastAsia="宋体"/>
          <w:color w:val="auto"/>
          <w:sz w:val="44"/>
          <w:szCs w:val="44"/>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110" w:leftChars="50" w:right="110" w:rightChars="50" w:firstLine="560" w:firstLineChars="200"/>
        <w:rPr>
          <w:highlight w:val="none"/>
          <w:lang w:eastAsia="zh-CN"/>
        </w:rPr>
      </w:pPr>
    </w:p>
    <w:p>
      <w:pPr>
        <w:pStyle w:val="12"/>
        <w:spacing w:line="360" w:lineRule="auto"/>
        <w:ind w:left="0" w:right="110" w:rightChars="50"/>
        <w:rPr>
          <w:highlight w:val="none"/>
          <w:lang w:eastAsia="zh-CN"/>
        </w:rPr>
      </w:pPr>
    </w:p>
    <w:p>
      <w:pPr>
        <w:pStyle w:val="12"/>
        <w:spacing w:line="360" w:lineRule="auto"/>
        <w:ind w:left="110" w:leftChars="50" w:right="110" w:rightChars="50" w:firstLine="560" w:firstLineChars="200"/>
        <w:rPr>
          <w:highlight w:val="none"/>
          <w:lang w:eastAsia="zh-CN"/>
        </w:rPr>
      </w:pPr>
    </w:p>
    <w:p>
      <w:pPr>
        <w:spacing w:line="360" w:lineRule="auto"/>
        <w:ind w:right="110" w:rightChars="50"/>
        <w:jc w:val="center"/>
        <w:rPr>
          <w:rFonts w:ascii="宋体" w:hAnsi="宋体" w:eastAsia="宋体"/>
          <w:sz w:val="32"/>
          <w:szCs w:val="32"/>
          <w:highlight w:val="none"/>
          <w:lang w:eastAsia="zh-CN"/>
        </w:rPr>
      </w:pPr>
      <w:r>
        <w:rPr>
          <w:rFonts w:hint="eastAsia" w:ascii="宋体" w:hAnsi="宋体" w:eastAsia="宋体"/>
          <w:sz w:val="32"/>
          <w:szCs w:val="32"/>
          <w:highlight w:val="none"/>
          <w:lang w:val="en-US" w:eastAsia="zh-CN"/>
        </w:rPr>
        <w:t xml:space="preserve"> 柳州市</w:t>
      </w:r>
      <w:r>
        <w:rPr>
          <w:rFonts w:hint="eastAsia" w:ascii="宋体" w:hAnsi="宋体" w:eastAsia="宋体"/>
          <w:sz w:val="32"/>
          <w:szCs w:val="32"/>
          <w:highlight w:val="none"/>
          <w:lang w:eastAsia="zh-CN"/>
        </w:rPr>
        <w:t>鱼峰区</w:t>
      </w:r>
      <w:r>
        <w:rPr>
          <w:rFonts w:hint="eastAsia" w:ascii="宋体" w:hAnsi="宋体" w:eastAsia="宋体"/>
          <w:sz w:val="32"/>
          <w:szCs w:val="32"/>
          <w:highlight w:val="none"/>
          <w:lang w:val="en-US" w:eastAsia="zh-CN"/>
        </w:rPr>
        <w:t>人民政府</w:t>
      </w:r>
    </w:p>
    <w:p>
      <w:pPr>
        <w:spacing w:line="360" w:lineRule="auto"/>
        <w:ind w:left="110" w:leftChars="50" w:right="110" w:rightChars="50"/>
        <w:jc w:val="center"/>
        <w:rPr>
          <w:rFonts w:ascii="宋体" w:hAnsi="宋体" w:eastAsia="宋体"/>
          <w:sz w:val="32"/>
          <w:szCs w:val="32"/>
          <w:highlight w:val="none"/>
          <w:lang w:eastAsia="zh-CN"/>
        </w:rPr>
      </w:pPr>
      <w:r>
        <w:rPr>
          <w:rFonts w:hint="eastAsia" w:ascii="宋体" w:hAnsi="宋体" w:eastAsia="宋体"/>
          <w:sz w:val="32"/>
          <w:szCs w:val="32"/>
          <w:highlight w:val="none"/>
          <w:lang w:eastAsia="zh-CN"/>
        </w:rPr>
        <w:t>二〇二五年</w:t>
      </w:r>
      <w:r>
        <w:rPr>
          <w:rFonts w:hint="eastAsia" w:ascii="宋体" w:hAnsi="宋体" w:eastAsia="宋体"/>
          <w:sz w:val="32"/>
          <w:szCs w:val="32"/>
          <w:highlight w:val="none"/>
          <w:lang w:val="en-US" w:eastAsia="zh-CN"/>
        </w:rPr>
        <w:t>十二</w:t>
      </w:r>
      <w:r>
        <w:rPr>
          <w:rFonts w:hint="eastAsia" w:ascii="宋体" w:hAnsi="宋体" w:eastAsia="宋体"/>
          <w:sz w:val="32"/>
          <w:szCs w:val="32"/>
          <w:highlight w:val="none"/>
          <w:lang w:eastAsia="zh-CN"/>
        </w:rPr>
        <w:t>月</w:t>
      </w:r>
    </w:p>
    <w:p>
      <w:pPr>
        <w:pStyle w:val="3"/>
        <w:spacing w:before="0" w:after="0" w:line="360" w:lineRule="auto"/>
        <w:ind w:left="110" w:leftChars="50" w:right="110" w:rightChars="50" w:firstLine="560" w:firstLineChars="200"/>
        <w:rPr>
          <w:rFonts w:ascii="仿宋" w:hAnsi="仿宋" w:eastAsia="仿宋"/>
          <w:sz w:val="28"/>
          <w:szCs w:val="28"/>
          <w:highlight w:val="none"/>
          <w:lang w:eastAsia="zh-CN"/>
        </w:rPr>
        <w:sectPr>
          <w:headerReference r:id="rId3" w:type="default"/>
          <w:footerReference r:id="rId4" w:type="default"/>
          <w:pgSz w:w="11910" w:h="16840"/>
          <w:pgMar w:top="1418" w:right="851" w:bottom="851" w:left="851" w:header="850" w:footer="992" w:gutter="0"/>
          <w:pgNumType w:start="1"/>
          <w:cols w:space="720" w:num="1"/>
        </w:sectPr>
      </w:pP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委托单位（甲方）：柳州市鱼峰区自然资源局</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编制单位（乙方）：柳州市城乡规划设计研究院有限公司</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城乡规划编制资质证书等级：甲级</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城乡规划编制资质证书编号：自资规甲字21450457</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主要起草人员：耿  磊  高级城市规划师 高级工程师</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 xml:space="preserve">               张净超  高级城市规划师 注册城市规划师</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 xml:space="preserve">               陈俏冰  城市规划师</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 xml:space="preserve">               陈俊宏  城市规划师</w:t>
      </w:r>
      <w:r>
        <w:rPr>
          <w:rFonts w:hint="eastAsia" w:hAnsi="仿宋_GB2312"/>
          <w:sz w:val="28"/>
          <w:szCs w:val="28"/>
          <w:highlight w:val="none"/>
          <w:lang w:eastAsia="zh-CN"/>
        </w:rPr>
        <w:br w:type="textWrapping"/>
      </w:r>
      <w:r>
        <w:rPr>
          <w:rFonts w:hint="eastAsia" w:hAnsi="仿宋_GB2312"/>
          <w:sz w:val="28"/>
          <w:szCs w:val="28"/>
          <w:highlight w:val="none"/>
          <w:lang w:eastAsia="zh-CN"/>
        </w:rPr>
        <w:t xml:space="preserve">               韦信园  </w:t>
      </w:r>
      <w:r>
        <w:rPr>
          <w:rFonts w:hint="eastAsia" w:hAnsi="仿宋_GB2312"/>
          <w:spacing w:val="-20"/>
          <w:sz w:val="28"/>
          <w:szCs w:val="28"/>
          <w:highlight w:val="none"/>
          <w:lang w:eastAsia="zh-CN"/>
        </w:rPr>
        <w:t>柳州市鱼峰区自然资源局干部 注册城市规划师</w:t>
      </w:r>
    </w:p>
    <w:p>
      <w:pPr>
        <w:tabs>
          <w:tab w:val="right" w:leader="dot" w:pos="8834"/>
        </w:tabs>
        <w:adjustRightInd w:val="0"/>
        <w:snapToGrid w:val="0"/>
        <w:spacing w:line="520" w:lineRule="exact"/>
        <w:jc w:val="both"/>
        <w:rPr>
          <w:rFonts w:hAnsi="仿宋_GB2312"/>
          <w:sz w:val="28"/>
          <w:szCs w:val="28"/>
          <w:highlight w:val="none"/>
          <w:lang w:eastAsia="zh-CN"/>
        </w:rPr>
      </w:pPr>
      <w:r>
        <w:rPr>
          <w:rFonts w:hint="eastAsia" w:hAnsi="仿宋_GB2312"/>
          <w:sz w:val="28"/>
          <w:szCs w:val="28"/>
          <w:highlight w:val="none"/>
          <w:lang w:eastAsia="zh-CN"/>
        </w:rPr>
        <w:t xml:space="preserve">               韦婷娜  </w:t>
      </w:r>
      <w:r>
        <w:rPr>
          <w:rFonts w:hint="eastAsia" w:hAnsi="仿宋_GB2312"/>
          <w:spacing w:val="-20"/>
          <w:sz w:val="28"/>
          <w:szCs w:val="28"/>
          <w:highlight w:val="none"/>
          <w:lang w:eastAsia="zh-CN"/>
        </w:rPr>
        <w:t>柳州市鱼峰区自然资源局干部 助理工程师</w:t>
      </w:r>
    </w:p>
    <w:p>
      <w:pPr>
        <w:tabs>
          <w:tab w:val="right" w:leader="dot" w:pos="8834"/>
        </w:tabs>
        <w:adjustRightInd w:val="0"/>
        <w:snapToGrid w:val="0"/>
        <w:spacing w:line="520" w:lineRule="exact"/>
        <w:jc w:val="both"/>
        <w:rPr>
          <w:rFonts w:hAnsi="仿宋_GB2312"/>
          <w:spacing w:val="-20"/>
          <w:sz w:val="28"/>
          <w:szCs w:val="28"/>
          <w:highlight w:val="none"/>
          <w:lang w:eastAsia="zh-CN"/>
        </w:rPr>
      </w:pPr>
      <w:r>
        <w:rPr>
          <w:rFonts w:hint="eastAsia" w:hAnsi="仿宋_GB2312"/>
          <w:sz w:val="28"/>
          <w:szCs w:val="28"/>
          <w:highlight w:val="none"/>
          <w:lang w:eastAsia="zh-CN"/>
        </w:rPr>
        <w:t xml:space="preserve">               陈冬灵  </w:t>
      </w:r>
      <w:r>
        <w:rPr>
          <w:rFonts w:hint="eastAsia" w:hAnsi="仿宋_GB2312"/>
          <w:spacing w:val="-20"/>
          <w:sz w:val="28"/>
          <w:szCs w:val="28"/>
          <w:highlight w:val="none"/>
          <w:lang w:eastAsia="zh-CN"/>
        </w:rPr>
        <w:t>柳州市鱼峰区自然资源局  工程师</w:t>
      </w:r>
    </w:p>
    <w:p>
      <w:pPr>
        <w:tabs>
          <w:tab w:val="right" w:leader="dot" w:pos="8834"/>
        </w:tabs>
        <w:spacing w:line="360" w:lineRule="auto"/>
        <w:ind w:firstLine="2800" w:firstLineChars="1000"/>
        <w:jc w:val="both"/>
        <w:rPr>
          <w:rFonts w:hAnsi="仿宋_GB2312"/>
          <w:sz w:val="28"/>
          <w:szCs w:val="28"/>
          <w:highlight w:val="none"/>
          <w:lang w:eastAsia="zh-CN"/>
        </w:rPr>
      </w:pPr>
      <w:r>
        <w:rPr>
          <w:rFonts w:hint="eastAsia" w:hAnsi="仿宋_GB2312"/>
          <w:sz w:val="28"/>
          <w:szCs w:val="28"/>
          <w:highlight w:val="none"/>
          <w:lang w:eastAsia="zh-CN"/>
        </w:rPr>
        <w:br w:type="textWrapping"/>
      </w:r>
      <w:r>
        <w:rPr>
          <w:highlight w:val="none"/>
          <w:lang w:eastAsia="zh-CN"/>
        </w:rPr>
        <w:drawing>
          <wp:anchor distT="0" distB="0" distL="114300" distR="114300" simplePos="0" relativeHeight="251662336" behindDoc="0" locked="0" layoutInCell="1" allowOverlap="1">
            <wp:simplePos x="0" y="0"/>
            <wp:positionH relativeFrom="column">
              <wp:posOffset>-198120</wp:posOffset>
            </wp:positionH>
            <wp:positionV relativeFrom="paragraph">
              <wp:posOffset>9525</wp:posOffset>
            </wp:positionV>
            <wp:extent cx="5380990" cy="3804920"/>
            <wp:effectExtent l="0" t="0" r="10160" b="5080"/>
            <wp:wrapSquare wrapText="bothSides"/>
            <wp:docPr id="2" name="图片 2" descr="3b931554e3d0c3be8939de754f47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931554e3d0c3be8939de754f477f2"/>
                    <pic:cNvPicPr>
                      <a:picLocks noChangeAspect="1"/>
                    </pic:cNvPicPr>
                  </pic:nvPicPr>
                  <pic:blipFill>
                    <a:blip r:embed="rId8"/>
                    <a:stretch>
                      <a:fillRect/>
                    </a:stretch>
                  </pic:blipFill>
                  <pic:spPr>
                    <a:xfrm>
                      <a:off x="0" y="0"/>
                      <a:ext cx="5380990" cy="3804920"/>
                    </a:xfrm>
                    <a:prstGeom prst="rect">
                      <a:avLst/>
                    </a:prstGeom>
                  </pic:spPr>
                </pic:pic>
              </a:graphicData>
            </a:graphic>
          </wp:anchor>
        </w:drawing>
      </w:r>
    </w:p>
    <w:p>
      <w:pPr>
        <w:tabs>
          <w:tab w:val="right" w:leader="dot" w:pos="8834"/>
        </w:tabs>
        <w:spacing w:line="360" w:lineRule="auto"/>
        <w:ind w:firstLine="2800" w:firstLineChars="1000"/>
        <w:jc w:val="both"/>
        <w:rPr>
          <w:rFonts w:hAnsi="仿宋_GB2312"/>
          <w:sz w:val="28"/>
          <w:szCs w:val="28"/>
          <w:highlight w:val="none"/>
          <w:lang w:eastAsia="zh-CN"/>
        </w:rPr>
      </w:pPr>
    </w:p>
    <w:p>
      <w:pPr>
        <w:tabs>
          <w:tab w:val="right" w:leader="dot" w:pos="8834"/>
        </w:tabs>
        <w:spacing w:line="360" w:lineRule="auto"/>
        <w:ind w:firstLine="2800" w:firstLineChars="1000"/>
        <w:jc w:val="both"/>
        <w:rPr>
          <w:rFonts w:hAnsi="仿宋_GB2312"/>
          <w:sz w:val="28"/>
          <w:szCs w:val="28"/>
          <w:highlight w:val="none"/>
          <w:lang w:eastAsia="zh-CN"/>
        </w:rPr>
      </w:pPr>
    </w:p>
    <w:p>
      <w:pPr>
        <w:spacing w:line="360" w:lineRule="auto"/>
        <w:ind w:left="110" w:leftChars="50" w:right="110" w:rightChars="50"/>
        <w:jc w:val="cente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p>
      <w:pPr>
        <w:rPr>
          <w:b/>
          <w:bCs/>
          <w:sz w:val="32"/>
          <w:szCs w:val="32"/>
          <w:highlight w:val="none"/>
          <w:lang w:eastAsia="zh-CN"/>
        </w:rPr>
      </w:pPr>
    </w:p>
    <w:sdt>
      <w:sdtPr>
        <w:rPr>
          <w:sz w:val="44"/>
          <w:szCs w:val="44"/>
          <w:highlight w:val="none"/>
        </w:rPr>
        <w:id w:val="147462501"/>
      </w:sdtPr>
      <w:sdtEndPr>
        <w:rPr>
          <w:bCs/>
          <w:sz w:val="22"/>
          <w:szCs w:val="32"/>
          <w:highlight w:val="none"/>
          <w:lang w:eastAsia="zh-CN"/>
        </w:rPr>
      </w:sdtEndPr>
      <w:sdtContent>
        <w:p>
          <w:pPr>
            <w:jc w:val="center"/>
            <w:rPr>
              <w:sz w:val="44"/>
              <w:szCs w:val="44"/>
              <w:highlight w:val="none"/>
              <w:lang w:val="zh-CN"/>
            </w:rPr>
          </w:pPr>
          <w:r>
            <w:rPr>
              <w:sz w:val="44"/>
              <w:szCs w:val="44"/>
              <w:highlight w:val="none"/>
              <w:lang w:val="zh-CN"/>
            </w:rPr>
            <w:t>目录</w:t>
          </w:r>
        </w:p>
        <w:p>
          <w:pPr>
            <w:pStyle w:val="17"/>
            <w:tabs>
              <w:tab w:val="right" w:leader="dot" w:pos="8849"/>
            </w:tabs>
            <w:rPr>
              <w:highlight w:val="none"/>
            </w:rPr>
          </w:pPr>
          <w:r>
            <w:rPr>
              <w:rFonts w:ascii="仿宋" w:hAnsi="仿宋" w:eastAsia="仿宋"/>
              <w:sz w:val="32"/>
              <w:szCs w:val="32"/>
              <w:highlight w:val="none"/>
              <w:lang w:eastAsia="zh-CN"/>
            </w:rPr>
            <w:fldChar w:fldCharType="begin"/>
          </w:r>
          <w:r>
            <w:rPr>
              <w:rFonts w:ascii="仿宋" w:hAnsi="仿宋" w:eastAsia="仿宋"/>
              <w:sz w:val="32"/>
              <w:szCs w:val="32"/>
              <w:highlight w:val="none"/>
              <w:lang w:eastAsia="zh-CN"/>
            </w:rPr>
            <w:instrText xml:space="preserve">TOC \o "1-1" \h \u </w:instrText>
          </w:r>
          <w:r>
            <w:rPr>
              <w:rFonts w:ascii="仿宋" w:hAnsi="仿宋" w:eastAsia="仿宋"/>
              <w:sz w:val="32"/>
              <w:szCs w:val="32"/>
              <w:highlight w:val="none"/>
              <w:lang w:eastAsia="zh-CN"/>
            </w:rPr>
            <w:fldChar w:fldCharType="separate"/>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_Toc753 </w:instrText>
          </w:r>
          <w:r>
            <w:rPr>
              <w:rFonts w:ascii="仿宋" w:hAnsi="仿宋" w:eastAsia="仿宋"/>
              <w:szCs w:val="32"/>
              <w:highlight w:val="none"/>
              <w:lang w:eastAsia="zh-CN"/>
            </w:rPr>
            <w:fldChar w:fldCharType="separate"/>
          </w:r>
          <w:r>
            <w:rPr>
              <w:szCs w:val="32"/>
              <w:highlight w:val="none"/>
              <w:lang w:eastAsia="zh-CN"/>
            </w:rPr>
            <w:t>第一章 总则</w:t>
          </w:r>
          <w:r>
            <w:rPr>
              <w:highlight w:val="none"/>
            </w:rPr>
            <w:tab/>
          </w:r>
          <w:r>
            <w:rPr>
              <w:highlight w:val="none"/>
            </w:rPr>
            <w:fldChar w:fldCharType="begin"/>
          </w:r>
          <w:r>
            <w:rPr>
              <w:highlight w:val="none"/>
            </w:rPr>
            <w:instrText xml:space="preserve"> PAGEREF _Toc753 \h </w:instrText>
          </w:r>
          <w:r>
            <w:rPr>
              <w:highlight w:val="none"/>
            </w:rPr>
            <w:fldChar w:fldCharType="separate"/>
          </w:r>
          <w:r>
            <w:rPr>
              <w:highlight w:val="none"/>
            </w:rPr>
            <w:t>2</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_Toc30663 </w:instrText>
          </w:r>
          <w:r>
            <w:rPr>
              <w:rFonts w:ascii="仿宋" w:hAnsi="仿宋" w:eastAsia="仿宋"/>
              <w:szCs w:val="32"/>
              <w:highlight w:val="none"/>
              <w:lang w:eastAsia="zh-CN"/>
            </w:rPr>
            <w:fldChar w:fldCharType="separate"/>
          </w:r>
          <w:r>
            <w:rPr>
              <w:szCs w:val="32"/>
              <w:highlight w:val="none"/>
              <w:lang w:eastAsia="zh-CN"/>
            </w:rPr>
            <w:t>第二章 村庄概况</w:t>
          </w:r>
          <w:r>
            <w:rPr>
              <w:highlight w:val="none"/>
            </w:rPr>
            <w:tab/>
          </w:r>
          <w:r>
            <w:rPr>
              <w:highlight w:val="none"/>
            </w:rPr>
            <w:fldChar w:fldCharType="begin"/>
          </w:r>
          <w:r>
            <w:rPr>
              <w:highlight w:val="none"/>
            </w:rPr>
            <w:instrText xml:space="preserve"> PAGEREF _Toc30663 \h </w:instrText>
          </w:r>
          <w:r>
            <w:rPr>
              <w:highlight w:val="none"/>
            </w:rPr>
            <w:fldChar w:fldCharType="separate"/>
          </w:r>
          <w:r>
            <w:rPr>
              <w:highlight w:val="none"/>
            </w:rPr>
            <w:t>3</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_Toc10229 </w:instrText>
          </w:r>
          <w:r>
            <w:rPr>
              <w:rFonts w:ascii="仿宋" w:hAnsi="仿宋" w:eastAsia="仿宋"/>
              <w:szCs w:val="32"/>
              <w:highlight w:val="none"/>
              <w:lang w:eastAsia="zh-CN"/>
            </w:rPr>
            <w:fldChar w:fldCharType="separate"/>
          </w:r>
          <w:r>
            <w:rPr>
              <w:szCs w:val="32"/>
              <w:highlight w:val="none"/>
              <w:lang w:eastAsia="zh-CN"/>
            </w:rPr>
            <w:t>第三章 底线管控</w:t>
          </w:r>
          <w:r>
            <w:rPr>
              <w:highlight w:val="none"/>
            </w:rPr>
            <w:tab/>
          </w:r>
          <w:r>
            <w:rPr>
              <w:highlight w:val="none"/>
            </w:rPr>
            <w:fldChar w:fldCharType="begin"/>
          </w:r>
          <w:r>
            <w:rPr>
              <w:highlight w:val="none"/>
            </w:rPr>
            <w:instrText xml:space="preserve"> PAGEREF _Toc10229 \h </w:instrText>
          </w:r>
          <w:r>
            <w:rPr>
              <w:highlight w:val="none"/>
            </w:rPr>
            <w:fldChar w:fldCharType="separate"/>
          </w:r>
          <w:r>
            <w:rPr>
              <w:highlight w:val="none"/>
            </w:rPr>
            <w:t>4</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_Toc19789 </w:instrText>
          </w:r>
          <w:r>
            <w:rPr>
              <w:rFonts w:ascii="仿宋" w:hAnsi="仿宋" w:eastAsia="仿宋"/>
              <w:szCs w:val="32"/>
              <w:highlight w:val="none"/>
              <w:lang w:eastAsia="zh-CN"/>
            </w:rPr>
            <w:fldChar w:fldCharType="separate"/>
          </w:r>
          <w:r>
            <w:rPr>
              <w:szCs w:val="32"/>
              <w:highlight w:val="none"/>
              <w:lang w:eastAsia="zh-CN"/>
            </w:rPr>
            <w:t>第四章 用地布局</w:t>
          </w:r>
          <w:r>
            <w:rPr>
              <w:highlight w:val="none"/>
            </w:rPr>
            <w:tab/>
          </w:r>
          <w:r>
            <w:rPr>
              <w:highlight w:val="none"/>
            </w:rPr>
            <w:fldChar w:fldCharType="begin"/>
          </w:r>
          <w:r>
            <w:rPr>
              <w:highlight w:val="none"/>
            </w:rPr>
            <w:instrText xml:space="preserve"> PAGEREF _Toc19789 \h </w:instrText>
          </w:r>
          <w:r>
            <w:rPr>
              <w:highlight w:val="none"/>
            </w:rPr>
            <w:fldChar w:fldCharType="separate"/>
          </w:r>
          <w:r>
            <w:rPr>
              <w:highlight w:val="none"/>
            </w:rPr>
            <w:t>7</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_Toc21970 </w:instrText>
          </w:r>
          <w:r>
            <w:rPr>
              <w:rFonts w:ascii="仿宋" w:hAnsi="仿宋" w:eastAsia="仿宋"/>
              <w:szCs w:val="32"/>
              <w:highlight w:val="none"/>
              <w:lang w:eastAsia="zh-CN"/>
            </w:rPr>
            <w:fldChar w:fldCharType="separate"/>
          </w:r>
          <w:r>
            <w:rPr>
              <w:szCs w:val="32"/>
              <w:highlight w:val="none"/>
              <w:lang w:eastAsia="zh-CN"/>
            </w:rPr>
            <w:t>第五章 建设控制</w:t>
          </w:r>
          <w:r>
            <w:rPr>
              <w:highlight w:val="none"/>
            </w:rPr>
            <w:tab/>
          </w:r>
          <w:r>
            <w:rPr>
              <w:highlight w:val="none"/>
            </w:rPr>
            <w:fldChar w:fldCharType="begin"/>
          </w:r>
          <w:r>
            <w:rPr>
              <w:highlight w:val="none"/>
            </w:rPr>
            <w:instrText xml:space="preserve"> PAGEREF _Toc21970 \h </w:instrText>
          </w:r>
          <w:r>
            <w:rPr>
              <w:highlight w:val="none"/>
            </w:rPr>
            <w:fldChar w:fldCharType="separate"/>
          </w:r>
          <w:r>
            <w:rPr>
              <w:highlight w:val="none"/>
            </w:rPr>
            <w:t>18</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_Toc17418 </w:instrText>
          </w:r>
          <w:r>
            <w:rPr>
              <w:rFonts w:ascii="仿宋" w:hAnsi="仿宋" w:eastAsia="仿宋"/>
              <w:szCs w:val="32"/>
              <w:highlight w:val="none"/>
              <w:lang w:eastAsia="zh-CN"/>
            </w:rPr>
            <w:fldChar w:fldCharType="separate"/>
          </w:r>
          <w:r>
            <w:rPr>
              <w:szCs w:val="32"/>
              <w:highlight w:val="none"/>
              <w:lang w:eastAsia="zh-CN"/>
            </w:rPr>
            <w:t>第六章 其他管控指引</w:t>
          </w:r>
          <w:r>
            <w:rPr>
              <w:highlight w:val="none"/>
            </w:rPr>
            <w:tab/>
          </w:r>
          <w:r>
            <w:rPr>
              <w:highlight w:val="none"/>
            </w:rPr>
            <w:fldChar w:fldCharType="begin"/>
          </w:r>
          <w:r>
            <w:rPr>
              <w:highlight w:val="none"/>
            </w:rPr>
            <w:instrText xml:space="preserve"> PAGEREF _Toc17418 \h </w:instrText>
          </w:r>
          <w:r>
            <w:rPr>
              <w:highlight w:val="none"/>
            </w:rPr>
            <w:fldChar w:fldCharType="separate"/>
          </w:r>
          <w:r>
            <w:rPr>
              <w:highlight w:val="none"/>
            </w:rPr>
            <w:t>25</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_Toc19900 </w:instrText>
          </w:r>
          <w:r>
            <w:rPr>
              <w:rFonts w:ascii="仿宋" w:hAnsi="仿宋" w:eastAsia="仿宋"/>
              <w:szCs w:val="32"/>
              <w:highlight w:val="none"/>
              <w:lang w:eastAsia="zh-CN"/>
            </w:rPr>
            <w:fldChar w:fldCharType="separate"/>
          </w:r>
          <w:r>
            <w:rPr>
              <w:szCs w:val="32"/>
              <w:highlight w:val="none"/>
              <w:lang w:eastAsia="zh-CN"/>
            </w:rPr>
            <w:t>第七章 实施保障</w:t>
          </w:r>
          <w:r>
            <w:rPr>
              <w:highlight w:val="none"/>
            </w:rPr>
            <w:tab/>
          </w:r>
          <w:r>
            <w:rPr>
              <w:highlight w:val="none"/>
            </w:rPr>
            <w:fldChar w:fldCharType="begin"/>
          </w:r>
          <w:r>
            <w:rPr>
              <w:highlight w:val="none"/>
            </w:rPr>
            <w:instrText xml:space="preserve"> PAGEREF _Toc19900 \h </w:instrText>
          </w:r>
          <w:r>
            <w:rPr>
              <w:highlight w:val="none"/>
            </w:rPr>
            <w:fldChar w:fldCharType="separate"/>
          </w:r>
          <w:r>
            <w:rPr>
              <w:highlight w:val="none"/>
            </w:rPr>
            <w:t>31</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_Toc12421 </w:instrText>
          </w:r>
          <w:r>
            <w:rPr>
              <w:rFonts w:ascii="仿宋" w:hAnsi="仿宋" w:eastAsia="仿宋"/>
              <w:szCs w:val="32"/>
              <w:highlight w:val="none"/>
              <w:lang w:eastAsia="zh-CN"/>
            </w:rPr>
            <w:fldChar w:fldCharType="separate"/>
          </w:r>
          <w:r>
            <w:rPr>
              <w:szCs w:val="32"/>
              <w:highlight w:val="none"/>
              <w:lang w:eastAsia="zh-CN"/>
            </w:rPr>
            <w:t>附则</w:t>
          </w:r>
          <w:r>
            <w:rPr>
              <w:highlight w:val="none"/>
            </w:rPr>
            <w:tab/>
          </w:r>
          <w:r>
            <w:rPr>
              <w:highlight w:val="none"/>
            </w:rPr>
            <w:fldChar w:fldCharType="begin"/>
          </w:r>
          <w:r>
            <w:rPr>
              <w:highlight w:val="none"/>
            </w:rPr>
            <w:instrText xml:space="preserve"> PAGEREF _Toc12421 \h </w:instrText>
          </w:r>
          <w:r>
            <w:rPr>
              <w:highlight w:val="none"/>
            </w:rPr>
            <w:fldChar w:fldCharType="separate"/>
          </w:r>
          <w:r>
            <w:rPr>
              <w:highlight w:val="none"/>
            </w:rPr>
            <w:t>33</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_Toc20921 </w:instrText>
          </w:r>
          <w:r>
            <w:rPr>
              <w:rFonts w:ascii="仿宋" w:hAnsi="仿宋" w:eastAsia="仿宋"/>
              <w:szCs w:val="32"/>
              <w:highlight w:val="none"/>
              <w:lang w:eastAsia="zh-CN"/>
            </w:rPr>
            <w:fldChar w:fldCharType="separate"/>
          </w:r>
          <w:r>
            <w:rPr>
              <w:szCs w:val="32"/>
              <w:highlight w:val="none"/>
              <w:lang w:eastAsia="zh-CN"/>
            </w:rPr>
            <w:t>附录</w:t>
          </w:r>
          <w:r>
            <w:rPr>
              <w:highlight w:val="none"/>
            </w:rPr>
            <w:tab/>
          </w:r>
          <w:r>
            <w:rPr>
              <w:highlight w:val="none"/>
            </w:rPr>
            <w:fldChar w:fldCharType="begin"/>
          </w:r>
          <w:r>
            <w:rPr>
              <w:highlight w:val="none"/>
            </w:rPr>
            <w:instrText xml:space="preserve"> PAGEREF _Toc20921 \h </w:instrText>
          </w:r>
          <w:r>
            <w:rPr>
              <w:highlight w:val="none"/>
            </w:rPr>
            <w:fldChar w:fldCharType="separate"/>
          </w:r>
          <w:r>
            <w:rPr>
              <w:highlight w:val="none"/>
            </w:rPr>
            <w:t>34</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_Toc30179 </w:instrText>
          </w:r>
          <w:r>
            <w:rPr>
              <w:rFonts w:ascii="仿宋" w:hAnsi="仿宋" w:eastAsia="仿宋"/>
              <w:szCs w:val="32"/>
              <w:highlight w:val="none"/>
              <w:lang w:eastAsia="zh-CN"/>
            </w:rPr>
            <w:fldChar w:fldCharType="separate"/>
          </w:r>
          <w:r>
            <w:rPr>
              <w:rFonts w:hint="eastAsia"/>
              <w:szCs w:val="32"/>
              <w:highlight w:val="none"/>
              <w:lang w:eastAsia="zh-CN"/>
            </w:rPr>
            <w:t>附表</w:t>
          </w:r>
          <w:r>
            <w:rPr>
              <w:highlight w:val="none"/>
            </w:rPr>
            <w:tab/>
          </w:r>
          <w:r>
            <w:rPr>
              <w:highlight w:val="none"/>
            </w:rPr>
            <w:fldChar w:fldCharType="begin"/>
          </w:r>
          <w:r>
            <w:rPr>
              <w:highlight w:val="none"/>
            </w:rPr>
            <w:instrText xml:space="preserve"> PAGEREF _Toc30179 \h </w:instrText>
          </w:r>
          <w:r>
            <w:rPr>
              <w:highlight w:val="none"/>
            </w:rPr>
            <w:fldChar w:fldCharType="separate"/>
          </w:r>
          <w:r>
            <w:rPr>
              <w:highlight w:val="none"/>
            </w:rPr>
            <w:t>45</w:t>
          </w:r>
          <w:r>
            <w:rPr>
              <w:highlight w:val="none"/>
            </w:rPr>
            <w:fldChar w:fldCharType="end"/>
          </w:r>
          <w:r>
            <w:rPr>
              <w:rFonts w:ascii="仿宋" w:hAnsi="仿宋" w:eastAsia="仿宋"/>
              <w:szCs w:val="32"/>
              <w:highlight w:val="none"/>
              <w:lang w:eastAsia="zh-CN"/>
            </w:rPr>
            <w:fldChar w:fldCharType="end"/>
          </w:r>
        </w:p>
        <w:p>
          <w:pPr>
            <w:pStyle w:val="17"/>
            <w:tabs>
              <w:tab w:val="right" w:leader="dot" w:pos="8849"/>
            </w:tabs>
            <w:rPr>
              <w:highlight w:val="none"/>
            </w:rPr>
          </w:pPr>
          <w:r>
            <w:rPr>
              <w:rFonts w:ascii="仿宋" w:hAnsi="仿宋" w:eastAsia="仿宋"/>
              <w:szCs w:val="32"/>
              <w:highlight w:val="none"/>
              <w:lang w:eastAsia="zh-CN"/>
            </w:rPr>
            <w:fldChar w:fldCharType="begin"/>
          </w:r>
          <w:r>
            <w:rPr>
              <w:rFonts w:ascii="仿宋" w:hAnsi="仿宋" w:eastAsia="仿宋"/>
              <w:szCs w:val="32"/>
              <w:highlight w:val="none"/>
              <w:lang w:eastAsia="zh-CN"/>
            </w:rPr>
            <w:instrText xml:space="preserve"> HYPERLINK \l _Toc1221 </w:instrText>
          </w:r>
          <w:r>
            <w:rPr>
              <w:rFonts w:ascii="仿宋" w:hAnsi="仿宋" w:eastAsia="仿宋"/>
              <w:szCs w:val="32"/>
              <w:highlight w:val="none"/>
              <w:lang w:eastAsia="zh-CN"/>
            </w:rPr>
            <w:fldChar w:fldCharType="separate"/>
          </w:r>
          <w:r>
            <w:rPr>
              <w:rFonts w:hint="eastAsia"/>
              <w:szCs w:val="32"/>
              <w:highlight w:val="none"/>
              <w:lang w:eastAsia="zh-CN"/>
            </w:rPr>
            <w:t>附图</w:t>
          </w:r>
          <w:r>
            <w:rPr>
              <w:highlight w:val="none"/>
            </w:rPr>
            <w:tab/>
          </w:r>
          <w:r>
            <w:rPr>
              <w:highlight w:val="none"/>
            </w:rPr>
            <w:fldChar w:fldCharType="begin"/>
          </w:r>
          <w:r>
            <w:rPr>
              <w:highlight w:val="none"/>
            </w:rPr>
            <w:instrText xml:space="preserve"> PAGEREF _Toc1221 \h </w:instrText>
          </w:r>
          <w:r>
            <w:rPr>
              <w:highlight w:val="none"/>
            </w:rPr>
            <w:fldChar w:fldCharType="separate"/>
          </w:r>
          <w:r>
            <w:rPr>
              <w:highlight w:val="none"/>
            </w:rPr>
            <w:t>61</w:t>
          </w:r>
          <w:r>
            <w:rPr>
              <w:highlight w:val="none"/>
            </w:rPr>
            <w:fldChar w:fldCharType="end"/>
          </w:r>
          <w:r>
            <w:rPr>
              <w:rFonts w:ascii="仿宋" w:hAnsi="仿宋" w:eastAsia="仿宋"/>
              <w:szCs w:val="32"/>
              <w:highlight w:val="none"/>
              <w:lang w:eastAsia="zh-CN"/>
            </w:rPr>
            <w:fldChar w:fldCharType="end"/>
          </w:r>
        </w:p>
        <w:p>
          <w:pPr>
            <w:rPr>
              <w:bCs/>
              <w:szCs w:val="32"/>
              <w:highlight w:val="none"/>
              <w:lang w:eastAsia="zh-CN"/>
            </w:rPr>
          </w:pPr>
          <w:r>
            <w:rPr>
              <w:bCs/>
              <w:szCs w:val="32"/>
              <w:highlight w:val="none"/>
              <w:lang w:eastAsia="zh-CN"/>
            </w:rPr>
            <w:fldChar w:fldCharType="end"/>
          </w:r>
        </w:p>
      </w:sdtContent>
    </w:sdt>
    <w:p>
      <w:pPr>
        <w:rPr>
          <w:bCs/>
          <w:szCs w:val="32"/>
          <w:highlight w:val="none"/>
          <w:lang w:eastAsia="zh-CN"/>
        </w:rPr>
      </w:pPr>
    </w:p>
    <w:p>
      <w:pPr>
        <w:rPr>
          <w:b/>
          <w:bCs/>
          <w:sz w:val="32"/>
          <w:szCs w:val="32"/>
          <w:highlight w:val="none"/>
          <w:lang w:eastAsia="zh-CN"/>
        </w:rPr>
        <w:sectPr>
          <w:footerReference r:id="rId5" w:type="default"/>
          <w:pgSz w:w="11910" w:h="16840"/>
          <w:pgMar w:top="2098" w:right="1474" w:bottom="1984" w:left="1587" w:header="850" w:footer="992" w:gutter="0"/>
          <w:pgNumType w:start="1"/>
          <w:cols w:space="0" w:num="1"/>
        </w:sectPr>
      </w:pPr>
    </w:p>
    <w:p>
      <w:pPr>
        <w:pStyle w:val="2"/>
        <w:spacing w:before="0" w:after="0" w:line="360" w:lineRule="auto"/>
        <w:ind w:left="110" w:leftChars="50" w:right="110" w:rightChars="50"/>
        <w:jc w:val="center"/>
        <w:rPr>
          <w:rFonts w:ascii="仿宋" w:hAnsi="仿宋" w:eastAsia="仿宋"/>
          <w:b/>
          <w:bCs/>
          <w:color w:val="auto"/>
          <w:sz w:val="32"/>
          <w:szCs w:val="32"/>
          <w:highlight w:val="none"/>
          <w:lang w:eastAsia="zh-CN"/>
        </w:rPr>
      </w:pPr>
      <w:bookmarkStart w:id="2" w:name="_Toc3069"/>
      <w:bookmarkStart w:id="3" w:name="_Toc540"/>
      <w:r>
        <w:rPr>
          <w:rFonts w:ascii="仿宋" w:hAnsi="仿宋" w:eastAsia="仿宋"/>
          <w:b/>
          <w:bCs/>
          <w:color w:val="auto"/>
          <w:sz w:val="32"/>
          <w:szCs w:val="32"/>
          <w:highlight w:val="none"/>
          <w:lang w:eastAsia="zh-CN"/>
        </w:rPr>
        <w:t>前言</w:t>
      </w:r>
      <w:bookmarkEnd w:id="2"/>
      <w:bookmarkEnd w:id="3"/>
    </w:p>
    <w:p>
      <w:pPr>
        <w:pStyle w:val="12"/>
        <w:spacing w:line="360" w:lineRule="auto"/>
        <w:ind w:left="110" w:leftChars="50" w:right="110" w:rightChars="50" w:firstLine="500" w:firstLineChars="200"/>
        <w:rPr>
          <w:rFonts w:hint="eastAsia"/>
          <w:spacing w:val="-15"/>
          <w:highlight w:val="none"/>
          <w:lang w:eastAsia="zh-CN"/>
        </w:rPr>
      </w:pPr>
      <w:r>
        <w:rPr>
          <w:rFonts w:hint="eastAsia" w:ascii="Times New Roman" w:hAnsi="Times New Roman"/>
          <w:spacing w:val="-15"/>
          <w:sz w:val="28"/>
          <w:highlight w:val="none"/>
          <w:lang w:eastAsia="zh-CN"/>
        </w:rPr>
        <w:t>为落实《中共中央国务院关于进一步深化农村改革扎实推进乡村全面振兴的意见》（2025年中央一号文件）、《农业农村部落实中共中央国务院关于进一步深化农村改革扎实推进乡村全面振兴工作部署的实施意见》（农发〔2025〕1号）、《自然资源部办公厅关于乡村地区“通则式”规划技术管理规定编制要求的通知》（自然资办发〔2025〕13号）、《自然资源部中央农村工作领导小组办公室关于学习运用“千万工程”经验提高村庄规划编制质量和实效的通知》（自然资发〔2024〕1号）和《广西壮族自治区自然资源厅 中共广西壮族自治区委员会农村工作领导小组办公室关于学习运用“千万工程”经验做好2024年村庄规划编制实施工作的通知》（桂自然资发〔2024〕16号）有关要求，加快实现乡村地区空间规划管理全覆盖，为乡村地区规划许可提供支撑。以《广西壮族自治区自然资源厅办公室关于印发&lt;广西壮族自治区乡村地区“通则式”规划管理规定编制指引（试行）&gt;的通知》（桂自然资办〔2024〕196号）为指导，结合柳州市鱼峰区乡村地区规划管理需要，制定《柳州市鱼峰区乡村地区“通则式”规划管理规定》，解决村庄规划未覆盖的乡村地区空间规划管理、核发规划许可的问题，指导乡村地区村民住房、公共服务设施、市政公用设施、乡村产业等项目建设。</w:t>
      </w:r>
    </w:p>
    <w:p>
      <w:pPr>
        <w:spacing w:line="360" w:lineRule="auto"/>
        <w:ind w:right="110" w:rightChars="50"/>
        <w:rPr>
          <w:sz w:val="28"/>
          <w:szCs w:val="28"/>
          <w:highlight w:val="none"/>
          <w:lang w:eastAsia="zh-CN"/>
        </w:rPr>
        <w:sectPr>
          <w:footerReference r:id="rId6" w:type="default"/>
          <w:pgSz w:w="11910" w:h="16840"/>
          <w:pgMar w:top="1418" w:right="851" w:bottom="851" w:left="851" w:header="850" w:footer="992" w:gutter="0"/>
          <w:pgNumType w:start="1"/>
          <w:cols w:space="720" w:num="1"/>
        </w:sectPr>
      </w:pPr>
    </w:p>
    <w:p>
      <w:pPr>
        <w:pStyle w:val="2"/>
        <w:keepNext w:val="0"/>
        <w:keepLines w:val="0"/>
        <w:spacing w:before="0" w:after="0"/>
        <w:ind w:right="296"/>
        <w:jc w:val="center"/>
        <w:rPr>
          <w:rFonts w:ascii="微软雅黑" w:hAnsi="微软雅黑" w:eastAsia="微软雅黑" w:cs="微软雅黑"/>
          <w:b/>
          <w:bCs/>
          <w:color w:val="auto"/>
          <w:sz w:val="32"/>
          <w:szCs w:val="32"/>
          <w:highlight w:val="none"/>
          <w:lang w:eastAsia="zh-CN"/>
        </w:rPr>
      </w:pPr>
      <w:bookmarkStart w:id="4" w:name="_bookmark1"/>
      <w:bookmarkEnd w:id="4"/>
      <w:bookmarkStart w:id="5" w:name="_Toc753"/>
      <w:r>
        <w:rPr>
          <w:rFonts w:ascii="微软雅黑" w:hAnsi="微软雅黑" w:eastAsia="微软雅黑" w:cs="微软雅黑"/>
          <w:b/>
          <w:bCs/>
          <w:color w:val="auto"/>
          <w:sz w:val="32"/>
          <w:szCs w:val="32"/>
          <w:highlight w:val="none"/>
          <w:lang w:eastAsia="zh-CN"/>
        </w:rPr>
        <w:t>第一章 总则</w:t>
      </w:r>
      <w:bookmarkEnd w:id="5"/>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一</w:t>
      </w:r>
      <w:r>
        <w:rPr>
          <w:rFonts w:hint="eastAsia" w:ascii="微软雅黑" w:hAnsi="微软雅黑" w:eastAsia="微软雅黑"/>
          <w:b/>
          <w:highlight w:val="none"/>
          <w:lang w:eastAsia="zh-CN"/>
        </w:rPr>
        <w:t xml:space="preserve">条 </w:t>
      </w:r>
      <w:r>
        <w:rPr>
          <w:rFonts w:hint="eastAsia"/>
          <w:highlight w:val="none"/>
          <w:lang w:eastAsia="zh-CN"/>
        </w:rPr>
        <w:t>本</w:t>
      </w:r>
      <w:r>
        <w:rPr>
          <w:rFonts w:hint="eastAsia"/>
          <w:highlight w:val="none"/>
          <w:lang w:val="en-US" w:eastAsia="zh-CN"/>
        </w:rPr>
        <w:t>通则</w:t>
      </w:r>
      <w:r>
        <w:rPr>
          <w:rFonts w:hint="eastAsia"/>
          <w:highlight w:val="none"/>
          <w:lang w:eastAsia="zh-CN"/>
        </w:rPr>
        <w:t>作为城镇开发边界以</w:t>
      </w:r>
      <w:r>
        <w:rPr>
          <w:rFonts w:hint="eastAsia"/>
          <w:highlight w:val="none"/>
          <w:lang w:val="en-US" w:eastAsia="zh-CN"/>
        </w:rPr>
        <w:t>外</w:t>
      </w:r>
      <w:r>
        <w:rPr>
          <w:rFonts w:hint="eastAsia"/>
          <w:highlight w:val="none"/>
          <w:lang w:eastAsia="zh-CN"/>
        </w:rPr>
        <w:t>，未经依法批准村庄规划（详细规划）覆盖的区域实施国土空间用途管制、核发乡村建设规划许可的依据。已经依法批准村庄规划（详细规划）覆盖的区域，应以村庄规划作为用途管制及核发规划许可的依据。已批准的村庄规划相关内容未明确的，可结合本</w:t>
      </w:r>
      <w:r>
        <w:rPr>
          <w:rFonts w:hint="eastAsia"/>
          <w:highlight w:val="none"/>
          <w:lang w:val="en-US" w:eastAsia="zh-CN"/>
        </w:rPr>
        <w:t>通则</w:t>
      </w:r>
      <w:r>
        <w:rPr>
          <w:rFonts w:hint="eastAsia"/>
          <w:highlight w:val="none"/>
          <w:lang w:eastAsia="zh-CN"/>
        </w:rPr>
        <w:t>核发规划许可。涉及农用地转用审批的，按照国家和广西壮族自治区有关规定办理。</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 xml:space="preserve">条 </w:t>
      </w:r>
      <w:r>
        <w:rPr>
          <w:rFonts w:hint="eastAsia"/>
          <w:highlight w:val="none"/>
          <w:lang w:eastAsia="zh-CN"/>
        </w:rPr>
        <w:t>本</w:t>
      </w:r>
      <w:r>
        <w:rPr>
          <w:rFonts w:hint="eastAsia"/>
          <w:highlight w:val="none"/>
          <w:lang w:val="en-US" w:eastAsia="zh-CN"/>
        </w:rPr>
        <w:t>通则</w:t>
      </w:r>
      <w:r>
        <w:rPr>
          <w:rFonts w:hint="eastAsia"/>
          <w:highlight w:val="none"/>
          <w:lang w:eastAsia="zh-CN"/>
        </w:rPr>
        <w:t>适用于鱼峰区行政区域内（包括柳东新区、阳和工业新区）的城镇开发边界外，未有经依法批准村庄规划（详细规划）覆盖的区域，</w:t>
      </w:r>
      <w:r>
        <w:rPr>
          <w:rFonts w:hint="eastAsia"/>
          <w:highlight w:val="none"/>
          <w:lang w:val="en-US" w:eastAsia="zh-CN"/>
        </w:rPr>
        <w:t>指导该区域内的</w:t>
      </w:r>
      <w:r>
        <w:rPr>
          <w:rFonts w:hint="eastAsia"/>
          <w:highlight w:val="none"/>
          <w:lang w:eastAsia="zh-CN"/>
        </w:rPr>
        <w:t>乡村建设项目，包括乡村地区村民住房、公共服务设施、市政公用设施、乡村产业等新建、改建或扩建项目。</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三</w:t>
      </w:r>
      <w:r>
        <w:rPr>
          <w:rFonts w:hint="eastAsia" w:ascii="微软雅黑" w:hAnsi="微软雅黑" w:eastAsia="微软雅黑"/>
          <w:b/>
          <w:highlight w:val="none"/>
          <w:lang w:eastAsia="zh-CN"/>
        </w:rPr>
        <w:t xml:space="preserve">条 </w:t>
      </w:r>
      <w:r>
        <w:rPr>
          <w:rFonts w:hint="eastAsia"/>
          <w:spacing w:val="-12"/>
          <w:highlight w:val="none"/>
          <w:lang w:eastAsia="zh-CN"/>
        </w:rPr>
        <w:t>本</w:t>
      </w:r>
      <w:r>
        <w:rPr>
          <w:rFonts w:hint="eastAsia"/>
          <w:spacing w:val="-21"/>
          <w:highlight w:val="none"/>
          <w:lang w:val="en-US" w:eastAsia="zh-CN"/>
        </w:rPr>
        <w:t>通则</w:t>
      </w:r>
      <w:r>
        <w:rPr>
          <w:rFonts w:hint="eastAsia"/>
          <w:spacing w:val="-12"/>
          <w:highlight w:val="none"/>
          <w:lang w:eastAsia="zh-CN"/>
        </w:rPr>
        <w:t>的制定依据国家和地方相关法律法规、政策文件、技术标准、相关规划等（详见附录三）</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条</w:t>
      </w:r>
      <w:r>
        <w:rPr>
          <w:rFonts w:hint="eastAsia"/>
          <w:spacing w:val="-12"/>
          <w:highlight w:val="none"/>
          <w:lang w:eastAsia="zh-CN"/>
        </w:rPr>
        <w:t xml:space="preserve"> 乡村建设规划许可证核发的范围应按如下规定执行</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（一）需要办理乡村建设规划许可证的情形。</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在城镇开发边界外的集体土地上进行乡村建设项目及村民住房建设，应当取得乡村建设规划许可证，建设单位或者个人应当按照规划许可的内容进行建设。</w:t>
      </w:r>
    </w:p>
    <w:p>
      <w:pPr>
        <w:pStyle w:val="12"/>
        <w:spacing w:line="360" w:lineRule="auto"/>
        <w:ind w:left="110" w:leftChars="50" w:right="110" w:rightChars="50" w:firstLine="560" w:firstLineChars="200"/>
        <w:rPr>
          <w:color w:val="auto"/>
          <w:highlight w:val="none"/>
          <w:lang w:eastAsia="zh-CN"/>
        </w:rPr>
      </w:pPr>
      <w:r>
        <w:rPr>
          <w:rFonts w:hint="eastAsia"/>
          <w:color w:val="auto"/>
          <w:highlight w:val="none"/>
          <w:lang w:eastAsia="zh-CN"/>
        </w:rPr>
        <w:t>（二）</w:t>
      </w:r>
      <w:r>
        <w:rPr>
          <w:rFonts w:hint="eastAsia"/>
          <w:color w:val="auto"/>
          <w:highlight w:val="none"/>
          <w:lang w:val="en-US" w:eastAsia="zh-CN"/>
        </w:rPr>
        <w:t>优化</w:t>
      </w:r>
      <w:r>
        <w:rPr>
          <w:rFonts w:hint="eastAsia"/>
          <w:color w:val="auto"/>
          <w:highlight w:val="none"/>
          <w:lang w:eastAsia="zh-CN"/>
        </w:rPr>
        <w:t>办理乡村建设规划许可证的情形。</w:t>
      </w:r>
    </w:p>
    <w:p>
      <w:pPr>
        <w:pStyle w:val="12"/>
        <w:spacing w:line="360" w:lineRule="auto"/>
        <w:ind w:left="110" w:leftChars="50" w:right="110" w:rightChars="50" w:firstLine="560" w:firstLineChars="200"/>
        <w:rPr>
          <w:rFonts w:hint="eastAsia"/>
          <w:color w:val="auto"/>
          <w:highlight w:val="none"/>
          <w:lang w:eastAsia="zh-CN"/>
        </w:rPr>
      </w:pPr>
      <w:r>
        <w:rPr>
          <w:rFonts w:hint="eastAsia"/>
          <w:color w:val="auto"/>
          <w:highlight w:val="none"/>
          <w:lang w:eastAsia="zh-CN"/>
        </w:rPr>
        <w:t>列入乡村振兴规划、计划或项目库的农村生活污水处理、垃圾储运、粪污处理、公共厕所等农村人居环境建设项目，</w:t>
      </w:r>
      <w:r>
        <w:rPr>
          <w:rFonts w:hint="eastAsia"/>
          <w:color w:val="auto"/>
          <w:highlight w:val="none"/>
          <w:lang w:val="en-US" w:eastAsia="zh-CN"/>
        </w:rPr>
        <w:t>村内</w:t>
      </w:r>
      <w:r>
        <w:rPr>
          <w:rFonts w:hint="eastAsia"/>
          <w:color w:val="auto"/>
          <w:highlight w:val="none"/>
          <w:lang w:eastAsia="zh-CN"/>
        </w:rPr>
        <w:t>给排水、供电、供气、通讯、道路等</w:t>
      </w:r>
      <w:r>
        <w:rPr>
          <w:rFonts w:hint="eastAsia"/>
          <w:color w:val="auto"/>
          <w:highlight w:val="none"/>
          <w:lang w:val="en-US" w:eastAsia="zh-CN"/>
        </w:rPr>
        <w:t>市政</w:t>
      </w:r>
      <w:r>
        <w:rPr>
          <w:rFonts w:hint="eastAsia"/>
          <w:color w:val="auto"/>
          <w:highlight w:val="none"/>
          <w:lang w:eastAsia="zh-CN"/>
        </w:rPr>
        <w:t>基础设施，</w:t>
      </w:r>
      <w:r>
        <w:rPr>
          <w:rFonts w:hint="eastAsia"/>
          <w:color w:val="auto"/>
          <w:highlight w:val="none"/>
          <w:lang w:val="en-US" w:eastAsia="zh-CN"/>
        </w:rPr>
        <w:t>农村公共服务、</w:t>
      </w:r>
      <w:r>
        <w:rPr>
          <w:rFonts w:hint="eastAsia"/>
          <w:color w:val="auto"/>
          <w:highlight w:val="none"/>
          <w:lang w:eastAsia="zh-CN"/>
        </w:rPr>
        <w:t>文化体育等小型（项目用地面积不超过400平方米，但露天篮球场不受此面积限制）零星公用公服设施，</w:t>
      </w:r>
      <w:r>
        <w:rPr>
          <w:rFonts w:hint="eastAsia"/>
          <w:color w:val="auto"/>
          <w:highlight w:val="none"/>
          <w:lang w:val="en-US" w:eastAsia="zh-CN"/>
        </w:rPr>
        <w:t>农村产业融合发展项目，在</w:t>
      </w:r>
      <w:r>
        <w:rPr>
          <w:rFonts w:hint="eastAsia"/>
          <w:color w:val="auto"/>
          <w:highlight w:val="none"/>
          <w:lang w:eastAsia="zh-CN"/>
        </w:rPr>
        <w:t>符合国土空间规划和用途管制规则，满足有关法律法规、有关标准规范和地方技术规定要求的，确保</w:t>
      </w:r>
      <w:r>
        <w:rPr>
          <w:rFonts w:hint="eastAsia"/>
          <w:color w:val="auto"/>
          <w:highlight w:val="none"/>
          <w:lang w:val="en-US" w:eastAsia="zh-CN"/>
        </w:rPr>
        <w:t>不破坏历史风貌和自然环境，</w:t>
      </w:r>
      <w:r>
        <w:rPr>
          <w:rFonts w:hint="eastAsia"/>
          <w:color w:val="auto"/>
          <w:highlight w:val="none"/>
          <w:lang w:eastAsia="zh-CN"/>
        </w:rPr>
        <w:t>安全利用的前提下，</w:t>
      </w:r>
      <w:r>
        <w:rPr>
          <w:rFonts w:hint="eastAsia"/>
          <w:color w:val="auto"/>
          <w:highlight w:val="none"/>
          <w:lang w:val="en-US" w:eastAsia="zh-CN"/>
        </w:rPr>
        <w:t>优化用地审批和规划许可流程</w:t>
      </w:r>
      <w:r>
        <w:rPr>
          <w:rFonts w:hint="eastAsia"/>
          <w:color w:val="auto"/>
          <w:highlight w:val="none"/>
          <w:lang w:eastAsia="zh-CN"/>
        </w:rPr>
        <w:t>。</w:t>
      </w:r>
    </w:p>
    <w:p>
      <w:pPr>
        <w:pStyle w:val="12"/>
        <w:spacing w:line="360" w:lineRule="auto"/>
        <w:ind w:right="110" w:rightChars="50"/>
        <w:rPr>
          <w:highlight w:val="none"/>
          <w:lang w:eastAsia="zh-CN"/>
        </w:rPr>
      </w:pPr>
    </w:p>
    <w:p>
      <w:pPr>
        <w:pStyle w:val="12"/>
        <w:spacing w:line="360" w:lineRule="auto"/>
        <w:ind w:right="110" w:rightChars="50"/>
        <w:rPr>
          <w:highlight w:val="none"/>
          <w:lang w:eastAsia="zh-CN"/>
        </w:rPr>
        <w:sectPr>
          <w:pgSz w:w="11910" w:h="16840"/>
          <w:pgMar w:top="1480" w:right="680" w:bottom="880" w:left="980" w:header="850" w:footer="992" w:gutter="0"/>
          <w:cols w:space="720" w:num="1"/>
        </w:sectPr>
      </w:pPr>
    </w:p>
    <w:p>
      <w:pPr>
        <w:pStyle w:val="2"/>
        <w:keepNext w:val="0"/>
        <w:keepLines w:val="0"/>
        <w:spacing w:before="0" w:after="0"/>
        <w:ind w:right="296"/>
        <w:jc w:val="center"/>
        <w:rPr>
          <w:rFonts w:ascii="微软雅黑" w:hAnsi="微软雅黑" w:eastAsia="微软雅黑" w:cs="微软雅黑"/>
          <w:b/>
          <w:bCs/>
          <w:color w:val="auto"/>
          <w:sz w:val="32"/>
          <w:szCs w:val="32"/>
          <w:highlight w:val="none"/>
          <w:lang w:eastAsia="zh-CN"/>
        </w:rPr>
      </w:pPr>
      <w:bookmarkStart w:id="6" w:name="_bookmark2"/>
      <w:bookmarkEnd w:id="6"/>
      <w:bookmarkStart w:id="7" w:name="_Toc30663"/>
      <w:r>
        <w:rPr>
          <w:rFonts w:ascii="微软雅黑" w:hAnsi="微软雅黑" w:eastAsia="微软雅黑" w:cs="微软雅黑"/>
          <w:b/>
          <w:bCs/>
          <w:color w:val="auto"/>
          <w:sz w:val="32"/>
          <w:szCs w:val="32"/>
          <w:highlight w:val="none"/>
          <w:lang w:eastAsia="zh-CN"/>
        </w:rPr>
        <w:t>第二章 村庄概况</w:t>
      </w:r>
      <w:bookmarkEnd w:id="7"/>
    </w:p>
    <w:p>
      <w:pPr>
        <w:pStyle w:val="12"/>
        <w:spacing w:line="360" w:lineRule="auto"/>
        <w:ind w:left="110" w:leftChars="50" w:right="110" w:rightChars="50" w:firstLine="560" w:firstLineChars="200"/>
        <w:jc w:val="both"/>
        <w:rPr>
          <w:rFonts w:hint="eastAsia" w:ascii="微软雅黑" w:hAnsi="微软雅黑" w:eastAsia="微软雅黑"/>
          <w:b/>
          <w:highlight w:val="none"/>
          <w:lang w:eastAsia="zh-CN"/>
        </w:rPr>
      </w:pPr>
      <w:bookmarkStart w:id="8" w:name="_bookmark3"/>
      <w:bookmarkEnd w:id="8"/>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 xml:space="preserve">条 </w:t>
      </w:r>
      <w:r>
        <w:rPr>
          <w:rFonts w:hint="eastAsia"/>
          <w:spacing w:val="-9"/>
          <w:highlight w:val="none"/>
          <w:lang w:val="en-US" w:eastAsia="zh-CN"/>
        </w:rPr>
        <w:t>鱼峰行政区现辖天马、驾鹤、荣军、箭盘山、五里亭、白莲、麒麟、阳和等</w:t>
      </w:r>
      <w:r>
        <w:rPr>
          <w:rFonts w:hint="default"/>
          <w:spacing w:val="-9"/>
          <w:highlight w:val="none"/>
          <w:lang w:val="en-US" w:eastAsia="zh-CN"/>
        </w:rPr>
        <w:t>8个街道</w:t>
      </w:r>
      <w:r>
        <w:rPr>
          <w:rFonts w:hint="eastAsia"/>
          <w:spacing w:val="-9"/>
          <w:highlight w:val="none"/>
          <w:lang w:val="en-US" w:eastAsia="zh-CN"/>
        </w:rPr>
        <w:t>，</w:t>
      </w:r>
      <w:r>
        <w:rPr>
          <w:rFonts w:hint="default"/>
          <w:spacing w:val="-9"/>
          <w:highlight w:val="none"/>
          <w:lang w:val="en-US" w:eastAsia="zh-CN"/>
        </w:rPr>
        <w:t>雒容、里雍、白沙、洛埠</w:t>
      </w:r>
      <w:r>
        <w:rPr>
          <w:rFonts w:hint="eastAsia"/>
          <w:spacing w:val="-9"/>
          <w:highlight w:val="none"/>
          <w:lang w:val="en-US" w:eastAsia="zh-CN"/>
        </w:rPr>
        <w:t>等</w:t>
      </w:r>
      <w:r>
        <w:rPr>
          <w:rFonts w:hint="default"/>
          <w:spacing w:val="-9"/>
          <w:highlight w:val="none"/>
          <w:lang w:val="en-US" w:eastAsia="zh-CN"/>
        </w:rPr>
        <w:t>4个镇，</w:t>
      </w:r>
      <w:r>
        <w:rPr>
          <w:rFonts w:hint="eastAsia"/>
          <w:spacing w:val="-9"/>
          <w:highlight w:val="none"/>
          <w:lang w:val="en-US" w:eastAsia="zh-CN"/>
        </w:rPr>
        <w:t>共</w:t>
      </w:r>
      <w:r>
        <w:rPr>
          <w:rFonts w:hint="default"/>
          <w:spacing w:val="-9"/>
          <w:highlight w:val="none"/>
          <w:lang w:val="en-US" w:eastAsia="zh-CN"/>
        </w:rPr>
        <w:t>62个城市社区、3</w:t>
      </w:r>
      <w:r>
        <w:rPr>
          <w:rFonts w:hint="eastAsia"/>
          <w:spacing w:val="-9"/>
          <w:highlight w:val="none"/>
          <w:lang w:val="en-US" w:eastAsia="zh-CN"/>
        </w:rPr>
        <w:t>7</w:t>
      </w:r>
      <w:r>
        <w:rPr>
          <w:rFonts w:hint="default"/>
          <w:spacing w:val="-9"/>
          <w:highlight w:val="none"/>
          <w:lang w:val="en-US" w:eastAsia="zh-CN"/>
        </w:rPr>
        <w:t>个行政村</w:t>
      </w:r>
      <w:r>
        <w:rPr>
          <w:rFonts w:hint="eastAsia"/>
          <w:spacing w:val="-9"/>
          <w:highlight w:val="none"/>
          <w:lang w:val="en-US" w:eastAsia="zh-CN"/>
        </w:rPr>
        <w:t>、</w:t>
      </w:r>
      <w:r>
        <w:rPr>
          <w:rFonts w:hint="default"/>
          <w:spacing w:val="-9"/>
          <w:highlight w:val="none"/>
          <w:lang w:val="en-US" w:eastAsia="zh-CN"/>
        </w:rPr>
        <w:t>2个农村社区</w:t>
      </w:r>
      <w:r>
        <w:rPr>
          <w:rFonts w:hint="eastAsia"/>
          <w:spacing w:val="-9"/>
          <w:highlight w:val="none"/>
          <w:lang w:val="en-US" w:eastAsia="zh-CN"/>
        </w:rPr>
        <w:t>。其中中心城区包括雒容镇、洛埠镇；里雍镇为重点镇；白沙镇为一般镇。</w:t>
      </w:r>
    </w:p>
    <w:p>
      <w:pPr>
        <w:pStyle w:val="12"/>
        <w:spacing w:line="360" w:lineRule="auto"/>
        <w:ind w:left="110" w:leftChars="50" w:right="110" w:rightChars="50" w:firstLine="560" w:firstLineChars="200"/>
        <w:rPr>
          <w:rFonts w:hint="default" w:ascii="微软雅黑" w:hAnsi="微软雅黑" w:eastAsia="微软雅黑"/>
          <w:b/>
          <w:highlight w:val="none"/>
          <w:lang w:val="en-US" w:eastAsia="zh-CN"/>
        </w:rPr>
      </w:pPr>
      <w:bookmarkStart w:id="9" w:name="_bookmark4"/>
      <w:bookmarkEnd w:id="9"/>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六</w:t>
      </w:r>
      <w:r>
        <w:rPr>
          <w:rFonts w:hint="eastAsia" w:ascii="微软雅黑" w:hAnsi="微软雅黑" w:eastAsia="微软雅黑"/>
          <w:b/>
          <w:highlight w:val="none"/>
          <w:lang w:eastAsia="zh-CN"/>
        </w:rPr>
        <w:t xml:space="preserve">条 </w:t>
      </w:r>
      <w:r>
        <w:rPr>
          <w:rFonts w:hint="eastAsia"/>
          <w:highlight w:val="none"/>
          <w:lang w:eastAsia="zh-CN"/>
        </w:rPr>
        <w:t>对鱼峰区域范围内</w:t>
      </w:r>
      <w:r>
        <w:rPr>
          <w:rFonts w:hint="eastAsia"/>
          <w:highlight w:val="none"/>
          <w:lang w:val="en-US" w:eastAsia="zh-CN"/>
        </w:rPr>
        <w:t>37</w:t>
      </w:r>
      <w:r>
        <w:rPr>
          <w:rFonts w:hint="eastAsia"/>
          <w:highlight w:val="none"/>
          <w:lang w:eastAsia="zh-CN"/>
        </w:rPr>
        <w:t>个行政村单元实施村庄分类发展，形成</w:t>
      </w:r>
      <w:r>
        <w:rPr>
          <w:rFonts w:hint="eastAsia"/>
          <w:highlight w:val="none"/>
          <w:lang w:val="en-US" w:eastAsia="zh-CN"/>
        </w:rPr>
        <w:t>18</w:t>
      </w:r>
      <w:r>
        <w:rPr>
          <w:rFonts w:hint="eastAsia"/>
          <w:highlight w:val="none"/>
          <w:lang w:eastAsia="zh-CN"/>
        </w:rPr>
        <w:t>个集聚提升类村庄、</w:t>
      </w:r>
      <w:r>
        <w:rPr>
          <w:rFonts w:hint="eastAsia"/>
          <w:highlight w:val="none"/>
          <w:lang w:val="en-US" w:eastAsia="zh-CN"/>
        </w:rPr>
        <w:t>16</w:t>
      </w:r>
      <w:r>
        <w:rPr>
          <w:rFonts w:hint="eastAsia"/>
          <w:highlight w:val="none"/>
          <w:lang w:eastAsia="zh-CN"/>
        </w:rPr>
        <w:t>个城郊融合类村庄、</w:t>
      </w:r>
      <w:r>
        <w:rPr>
          <w:rFonts w:hint="eastAsia"/>
          <w:highlight w:val="none"/>
          <w:lang w:val="en-US" w:eastAsia="zh-CN"/>
        </w:rPr>
        <w:t>3</w:t>
      </w:r>
      <w:r>
        <w:rPr>
          <w:rFonts w:hint="eastAsia"/>
          <w:highlight w:val="none"/>
          <w:lang w:eastAsia="zh-CN"/>
        </w:rPr>
        <w:t>个</w:t>
      </w:r>
      <w:r>
        <w:rPr>
          <w:rFonts w:hint="eastAsia"/>
          <w:highlight w:val="none"/>
          <w:lang w:val="en-US" w:eastAsia="zh-CN"/>
        </w:rPr>
        <w:t>暂不分类村庄，并</w:t>
      </w:r>
      <w:r>
        <w:rPr>
          <w:rFonts w:hint="eastAsia"/>
          <w:highlight w:val="none"/>
          <w:lang w:eastAsia="zh-CN"/>
        </w:rPr>
        <w:t>对不同类型的村庄提供相应的发展指引。</w:t>
      </w:r>
      <w:r>
        <w:rPr>
          <w:rFonts w:hint="eastAsia"/>
          <w:highlight w:val="none"/>
          <w:lang w:val="en-US" w:eastAsia="zh-CN"/>
        </w:rPr>
        <w:t>详见附图二鱼峰区村庄分类示图</w:t>
      </w:r>
    </w:p>
    <w:p>
      <w:pPr>
        <w:pStyle w:val="12"/>
        <w:spacing w:line="360" w:lineRule="auto"/>
        <w:ind w:left="110" w:leftChars="50" w:right="110" w:rightChars="50" w:firstLine="560" w:firstLineChars="200"/>
        <w:jc w:val="left"/>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七</w:t>
      </w:r>
      <w:r>
        <w:rPr>
          <w:rFonts w:hint="eastAsia" w:ascii="微软雅黑" w:hAnsi="微软雅黑" w:eastAsia="微软雅黑"/>
          <w:b/>
          <w:highlight w:val="none"/>
          <w:lang w:eastAsia="zh-CN"/>
        </w:rPr>
        <w:t xml:space="preserve">条 </w:t>
      </w:r>
      <w:r>
        <w:rPr>
          <w:rFonts w:hint="eastAsia"/>
          <w:highlight w:val="none"/>
          <w:lang w:val="en-US" w:eastAsia="zh-CN"/>
        </w:rPr>
        <w:t>鱼峰</w:t>
      </w:r>
      <w:r>
        <w:rPr>
          <w:rFonts w:hint="eastAsia"/>
          <w:highlight w:val="none"/>
          <w:lang w:eastAsia="zh-CN"/>
        </w:rPr>
        <w:t>区各村庄类型的发展指引按照如下规定执行</w:t>
      </w:r>
      <w:r>
        <w:rPr>
          <w:highlight w:val="none"/>
          <w:lang w:eastAsia="zh-CN"/>
        </w:rPr>
        <w:t>：</w:t>
      </w:r>
    </w:p>
    <w:p>
      <w:pPr>
        <w:pStyle w:val="12"/>
        <w:spacing w:line="360" w:lineRule="auto"/>
        <w:ind w:left="110" w:leftChars="50" w:right="110" w:rightChars="50" w:firstLine="560" w:firstLineChars="200"/>
        <w:jc w:val="both"/>
        <w:rPr>
          <w:highlight w:val="none"/>
          <w:lang w:eastAsia="zh-CN"/>
        </w:rPr>
      </w:pPr>
      <w:r>
        <w:rPr>
          <w:highlight w:val="none"/>
          <w:lang w:eastAsia="zh-CN"/>
        </w:rPr>
        <w:t>（一</w:t>
      </w:r>
      <w:r>
        <w:rPr>
          <w:spacing w:val="-20"/>
          <w:highlight w:val="none"/>
          <w:lang w:eastAsia="zh-CN"/>
        </w:rPr>
        <w:t>）</w:t>
      </w:r>
      <w:r>
        <w:rPr>
          <w:rFonts w:hint="eastAsia"/>
          <w:spacing w:val="-7"/>
          <w:highlight w:val="none"/>
          <w:lang w:eastAsia="zh-CN"/>
        </w:rPr>
        <w:t>集聚提升类村庄。聚焦解决产业发展、基础设施及空间品质等方面的弱项短板问题，着力推动实现质的提升，增强村庄吸引人口和产业的能力，保障“集聚”和“提升”的合理用地需求</w:t>
      </w:r>
      <w:r>
        <w:rPr>
          <w:spacing w:val="-5"/>
          <w:highlight w:val="none"/>
          <w:lang w:eastAsia="zh-CN"/>
        </w:rPr>
        <w:t>。</w:t>
      </w:r>
    </w:p>
    <w:p>
      <w:pPr>
        <w:pStyle w:val="12"/>
        <w:spacing w:line="360" w:lineRule="auto"/>
        <w:ind w:left="110" w:leftChars="50" w:right="110" w:rightChars="50" w:firstLine="560" w:firstLineChars="200"/>
        <w:jc w:val="both"/>
        <w:rPr>
          <w:highlight w:val="none"/>
          <w:lang w:eastAsia="zh-CN"/>
        </w:rPr>
      </w:pPr>
      <w:r>
        <w:rPr>
          <w:highlight w:val="none"/>
          <w:lang w:eastAsia="zh-CN"/>
        </w:rPr>
        <w:t>（二</w:t>
      </w:r>
      <w:r>
        <w:rPr>
          <w:spacing w:val="-15"/>
          <w:highlight w:val="none"/>
          <w:lang w:eastAsia="zh-CN"/>
        </w:rPr>
        <w:t>）</w:t>
      </w:r>
      <w:r>
        <w:rPr>
          <w:rFonts w:hint="eastAsia"/>
          <w:spacing w:val="-8"/>
          <w:highlight w:val="none"/>
          <w:lang w:eastAsia="zh-CN"/>
        </w:rPr>
        <w:t>城郊融合类村庄。积极融入区域城镇化发展，承接城镇功能外溢，加快推动与城镇公共服务设施的共建共享、基础设施的互联互通，促进城乡土地市场统一建设，实施城郊空间品质一体化管控</w:t>
      </w:r>
      <w:r>
        <w:rPr>
          <w:spacing w:val="-5"/>
          <w:highlight w:val="none"/>
          <w:lang w:eastAsia="zh-CN"/>
        </w:rPr>
        <w:t>。</w:t>
      </w:r>
    </w:p>
    <w:p>
      <w:pPr>
        <w:pStyle w:val="12"/>
        <w:numPr>
          <w:ilvl w:val="-1"/>
          <w:numId w:val="0"/>
        </w:numPr>
        <w:spacing w:line="360" w:lineRule="auto"/>
        <w:ind w:left="110" w:leftChars="50" w:right="110" w:rightChars="50" w:firstLine="560" w:firstLineChars="200"/>
        <w:jc w:val="both"/>
        <w:rPr>
          <w:color w:val="000000" w:themeColor="text1"/>
          <w:highlight w:val="none"/>
          <w:lang w:eastAsia="zh-CN"/>
          <w14:textFill>
            <w14:solidFill>
              <w14:schemeClr w14:val="tx1"/>
            </w14:solidFill>
          </w14:textFill>
        </w:rPr>
      </w:pPr>
      <w:r>
        <w:rPr>
          <w:rFonts w:hint="default"/>
          <w:color w:val="auto"/>
          <w:highlight w:val="none"/>
          <w:lang w:eastAsia="zh-CN"/>
        </w:rPr>
        <w:t>（</w:t>
      </w:r>
      <w:r>
        <w:rPr>
          <w:rFonts w:hint="default"/>
          <w:color w:val="auto"/>
          <w:highlight w:val="none"/>
          <w:lang w:val="en-US" w:eastAsia="zh-CN"/>
        </w:rPr>
        <w:t>三</w:t>
      </w:r>
      <w:r>
        <w:rPr>
          <w:rFonts w:hint="default"/>
          <w:color w:val="auto"/>
          <w:highlight w:val="none"/>
          <w:lang w:eastAsia="zh-CN"/>
        </w:rPr>
        <w:t>）</w:t>
      </w:r>
      <w:r>
        <w:rPr>
          <w:rFonts w:hint="default"/>
          <w:spacing w:val="0"/>
          <w:highlight w:val="none"/>
          <w:lang w:eastAsia="zh-CN"/>
        </w:rPr>
        <w:t>暂不分类的村庄：</w:t>
      </w:r>
      <w:r>
        <w:rPr>
          <w:rFonts w:hint="default"/>
          <w:spacing w:val="0"/>
          <w:highlight w:val="none"/>
          <w:lang w:val="en-US" w:eastAsia="zh-CN"/>
        </w:rPr>
        <w:t>除以上类型以外的其他村庄，如城镇街道、城中村等</w:t>
      </w:r>
      <w:r>
        <w:rPr>
          <w:rFonts w:hint="default"/>
          <w:spacing w:val="0"/>
          <w:highlight w:val="none"/>
          <w:lang w:eastAsia="zh-CN"/>
        </w:rPr>
        <w:t>。应加强村庄人居环境整治，探索产业发展新路径，优化土地利用结构，实现村庄发展和用地集约的平衡。</w:t>
      </w:r>
    </w:p>
    <w:p>
      <w:pPr>
        <w:pStyle w:val="12"/>
        <w:spacing w:line="360" w:lineRule="auto"/>
        <w:ind w:left="550" w:leftChars="250" w:right="110" w:rightChars="50"/>
        <w:jc w:val="both"/>
        <w:rPr>
          <w:highlight w:val="none"/>
          <w:lang w:eastAsia="zh-CN"/>
        </w:rPr>
      </w:pPr>
    </w:p>
    <w:p>
      <w:pPr>
        <w:pStyle w:val="12"/>
        <w:spacing w:line="360" w:lineRule="auto"/>
        <w:ind w:left="550" w:leftChars="250" w:right="110" w:rightChars="50"/>
        <w:jc w:val="both"/>
        <w:rPr>
          <w:highlight w:val="none"/>
          <w:lang w:eastAsia="zh-CN"/>
        </w:rPr>
        <w:sectPr>
          <w:pgSz w:w="11910" w:h="16840"/>
          <w:pgMar w:top="1480" w:right="680" w:bottom="880" w:left="980" w:header="850" w:footer="992" w:gutter="0"/>
          <w:cols w:space="720" w:num="1"/>
        </w:sectPr>
      </w:pPr>
    </w:p>
    <w:p>
      <w:pPr>
        <w:pStyle w:val="2"/>
        <w:keepNext w:val="0"/>
        <w:keepLines w:val="0"/>
        <w:spacing w:before="0" w:after="0"/>
        <w:ind w:right="296"/>
        <w:jc w:val="center"/>
        <w:rPr>
          <w:rFonts w:ascii="微软雅黑" w:hAnsi="微软雅黑" w:eastAsia="微软雅黑" w:cs="微软雅黑"/>
          <w:b/>
          <w:bCs/>
          <w:color w:val="auto"/>
          <w:sz w:val="32"/>
          <w:szCs w:val="32"/>
          <w:highlight w:val="none"/>
          <w:lang w:eastAsia="zh-CN"/>
        </w:rPr>
      </w:pPr>
      <w:bookmarkStart w:id="10" w:name="_bookmark5"/>
      <w:bookmarkEnd w:id="10"/>
      <w:bookmarkStart w:id="11" w:name="_Toc10229"/>
      <w:r>
        <w:rPr>
          <w:rFonts w:ascii="微软雅黑" w:hAnsi="微软雅黑" w:eastAsia="微软雅黑" w:cs="微软雅黑"/>
          <w:b/>
          <w:bCs/>
          <w:color w:val="auto"/>
          <w:sz w:val="32"/>
          <w:szCs w:val="32"/>
          <w:highlight w:val="none"/>
          <w:lang w:eastAsia="zh-CN"/>
        </w:rPr>
        <w:t>第三章 底线管控</w:t>
      </w:r>
      <w:bookmarkEnd w:id="11"/>
    </w:p>
    <w:p>
      <w:pPr>
        <w:pStyle w:val="12"/>
        <w:spacing w:line="360" w:lineRule="auto"/>
        <w:ind w:left="110" w:leftChars="50" w:right="110" w:rightChars="50" w:firstLine="560" w:firstLineChars="200"/>
        <w:jc w:val="both"/>
        <w:rPr>
          <w:highlight w:val="none"/>
          <w:lang w:eastAsia="zh-CN"/>
        </w:rPr>
      </w:pPr>
      <w:bookmarkStart w:id="12" w:name="_bookmark6"/>
      <w:bookmarkEnd w:id="12"/>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八</w:t>
      </w:r>
      <w:r>
        <w:rPr>
          <w:rFonts w:hint="eastAsia" w:ascii="微软雅黑" w:hAnsi="微软雅黑" w:eastAsia="微软雅黑"/>
          <w:b/>
          <w:highlight w:val="none"/>
          <w:lang w:eastAsia="zh-CN"/>
        </w:rPr>
        <w:t xml:space="preserve">条 </w:t>
      </w:r>
      <w:r>
        <w:rPr>
          <w:highlight w:val="none"/>
          <w:lang w:eastAsia="zh-CN"/>
        </w:rPr>
        <w:t>严格落实耕地和永久基本农田保护红线。到2035年，</w:t>
      </w:r>
      <w:r>
        <w:rPr>
          <w:rFonts w:hint="eastAsia"/>
          <w:highlight w:val="none"/>
          <w:lang w:val="en-US" w:eastAsia="zh-CN"/>
        </w:rPr>
        <w:t>鱼峰</w:t>
      </w:r>
      <w:r>
        <w:rPr>
          <w:rFonts w:hint="eastAsia"/>
          <w:highlight w:val="none"/>
          <w:lang w:eastAsia="zh-CN"/>
        </w:rPr>
        <w:t>区</w:t>
      </w:r>
      <w:r>
        <w:rPr>
          <w:highlight w:val="none"/>
          <w:lang w:eastAsia="zh-CN"/>
        </w:rPr>
        <w:t>耕地保</w:t>
      </w:r>
      <w:r>
        <w:rPr>
          <w:spacing w:val="-12"/>
          <w:highlight w:val="none"/>
          <w:lang w:eastAsia="zh-CN"/>
        </w:rPr>
        <w:t>有量不低于</w:t>
      </w:r>
      <w:r>
        <w:rPr>
          <w:rFonts w:hint="eastAsia"/>
          <w:highlight w:val="none"/>
          <w:lang w:eastAsia="zh-CN"/>
        </w:rPr>
        <w:t>17</w:t>
      </w:r>
      <w:r>
        <w:rPr>
          <w:rFonts w:hint="eastAsia"/>
          <w:highlight w:val="none"/>
          <w:lang w:val="en-US" w:eastAsia="zh-CN"/>
        </w:rPr>
        <w:t>.</w:t>
      </w:r>
      <w:r>
        <w:rPr>
          <w:rFonts w:hint="eastAsia"/>
          <w:highlight w:val="none"/>
          <w:lang w:eastAsia="zh-CN"/>
        </w:rPr>
        <w:t>19</w:t>
      </w:r>
      <w:r>
        <w:rPr>
          <w:rFonts w:hint="eastAsia" w:cs="宋体"/>
          <w:highlight w:val="none"/>
          <w:lang w:eastAsia="zh-CN"/>
        </w:rPr>
        <w:t>万亩</w:t>
      </w:r>
      <w:r>
        <w:rPr>
          <w:spacing w:val="-10"/>
          <w:highlight w:val="none"/>
          <w:lang w:eastAsia="zh-CN"/>
        </w:rPr>
        <w:t>，永久基本农田保护面积不低于</w:t>
      </w:r>
      <w:r>
        <w:rPr>
          <w:rFonts w:hint="eastAsia"/>
          <w:spacing w:val="-10"/>
          <w:highlight w:val="none"/>
          <w:lang w:val="en-US" w:eastAsia="zh-CN"/>
        </w:rPr>
        <w:t>12.57</w:t>
      </w:r>
      <w:r>
        <w:rPr>
          <w:rFonts w:hint="eastAsia"/>
          <w:spacing w:val="-10"/>
          <w:highlight w:val="none"/>
          <w:lang w:eastAsia="zh-CN"/>
        </w:rPr>
        <w:t>万亩</w:t>
      </w:r>
      <w:r>
        <w:rPr>
          <w:spacing w:val="-7"/>
          <w:highlight w:val="none"/>
          <w:lang w:eastAsia="zh-CN"/>
        </w:rPr>
        <w:t>。</w:t>
      </w:r>
      <w:r>
        <w:rPr>
          <w:rFonts w:hint="eastAsia"/>
          <w:spacing w:val="-7"/>
          <w:highlight w:val="none"/>
          <w:lang w:val="en-US" w:eastAsia="zh-CN"/>
        </w:rPr>
        <w:t>相关</w:t>
      </w:r>
      <w:r>
        <w:rPr>
          <w:spacing w:val="-5"/>
          <w:highlight w:val="none"/>
          <w:lang w:eastAsia="zh-CN"/>
        </w:rPr>
        <w:t>管控规则应</w:t>
      </w:r>
      <w:r>
        <w:rPr>
          <w:rFonts w:hint="eastAsia"/>
          <w:spacing w:val="-5"/>
          <w:highlight w:val="none"/>
          <w:lang w:val="en-US" w:eastAsia="zh-CN"/>
        </w:rPr>
        <w:t>按</w:t>
      </w:r>
      <w:r>
        <w:rPr>
          <w:spacing w:val="-5"/>
          <w:highlight w:val="none"/>
          <w:lang w:eastAsia="zh-CN"/>
        </w:rPr>
        <w:t>国家及广西壮族自治区规定执行。</w:t>
      </w:r>
    </w:p>
    <w:p>
      <w:pPr>
        <w:pStyle w:val="12"/>
        <w:spacing w:line="360" w:lineRule="auto"/>
        <w:ind w:left="110" w:leftChars="50" w:right="110" w:rightChars="50" w:firstLine="560" w:firstLineChars="200"/>
        <w:jc w:val="both"/>
        <w:rPr>
          <w:rFonts w:hint="eastAsia" w:ascii="微软雅黑" w:hAnsi="微软雅黑" w:eastAsia="微软雅黑"/>
          <w:b/>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九</w:t>
      </w:r>
      <w:r>
        <w:rPr>
          <w:rFonts w:hint="eastAsia" w:ascii="微软雅黑" w:hAnsi="微软雅黑" w:eastAsia="微软雅黑"/>
          <w:b/>
          <w:highlight w:val="none"/>
          <w:lang w:eastAsia="zh-CN"/>
        </w:rPr>
        <w:t xml:space="preserve">条 </w:t>
      </w:r>
      <w:r>
        <w:rPr>
          <w:highlight w:val="none"/>
          <w:lang w:eastAsia="zh-CN"/>
        </w:rPr>
        <w:t>落实生态保护红线。到2035年，</w:t>
      </w:r>
      <w:r>
        <w:rPr>
          <w:rFonts w:hint="eastAsia"/>
          <w:highlight w:val="none"/>
          <w:lang w:val="en-US" w:eastAsia="zh-CN"/>
        </w:rPr>
        <w:t>鱼峰区</w:t>
      </w:r>
      <w:r>
        <w:rPr>
          <w:highlight w:val="none"/>
          <w:lang w:eastAsia="zh-CN"/>
        </w:rPr>
        <w:t>落实生态保护红线面积不低</w:t>
      </w:r>
      <w:r>
        <w:rPr>
          <w:rFonts w:hint="eastAsia"/>
          <w:highlight w:val="none"/>
          <w:lang w:eastAsia="zh-CN"/>
        </w:rPr>
        <w:t>于</w:t>
      </w:r>
      <w:r>
        <w:rPr>
          <w:rFonts w:hint="eastAsia"/>
          <w:highlight w:val="none"/>
          <w:lang w:val="en-US" w:eastAsia="zh-CN"/>
        </w:rPr>
        <w:t>8.26</w:t>
      </w:r>
      <w:r>
        <w:rPr>
          <w:highlight w:val="none"/>
          <w:lang w:eastAsia="zh-CN"/>
        </w:rPr>
        <w:t>平方千米。</w:t>
      </w:r>
      <w:r>
        <w:rPr>
          <w:rFonts w:hint="eastAsia"/>
          <w:highlight w:val="none"/>
          <w:lang w:val="en-US" w:eastAsia="zh-CN"/>
        </w:rPr>
        <w:t>主要</w:t>
      </w:r>
      <w:r>
        <w:rPr>
          <w:highlight w:val="none"/>
          <w:lang w:eastAsia="zh-CN"/>
        </w:rPr>
        <w:t>类型包括水源涵养、水土保持为主</w:t>
      </w:r>
      <w:r>
        <w:rPr>
          <w:rFonts w:hint="eastAsia"/>
          <w:highlight w:val="none"/>
          <w:lang w:val="en-US" w:eastAsia="zh-CN"/>
        </w:rPr>
        <w:t>。相关</w:t>
      </w:r>
      <w:r>
        <w:rPr>
          <w:rFonts w:hint="eastAsia"/>
          <w:highlight w:val="none"/>
          <w:lang w:eastAsia="zh-CN"/>
        </w:rPr>
        <w:t>管控规则应</w:t>
      </w:r>
      <w:r>
        <w:rPr>
          <w:rFonts w:hint="eastAsia"/>
          <w:highlight w:val="none"/>
          <w:lang w:val="en-US" w:eastAsia="zh-CN"/>
        </w:rPr>
        <w:t>按</w:t>
      </w:r>
      <w:r>
        <w:rPr>
          <w:rFonts w:hint="eastAsia"/>
          <w:highlight w:val="none"/>
          <w:lang w:eastAsia="zh-CN"/>
        </w:rPr>
        <w:t>国家及广西壮族自治区规定执行。</w:t>
      </w:r>
    </w:p>
    <w:p>
      <w:pPr>
        <w:pStyle w:val="12"/>
        <w:tabs>
          <w:tab w:val="left" w:pos="2200"/>
        </w:tabs>
        <w:spacing w:line="360" w:lineRule="auto"/>
        <w:ind w:left="110" w:leftChars="50" w:right="110" w:rightChars="50" w:firstLine="560" w:firstLineChars="200"/>
        <w:rPr>
          <w:rFonts w:hint="eastAsia" w:ascii="微软雅黑" w:hAnsi="微软雅黑" w:eastAsia="微软雅黑"/>
          <w:b/>
          <w:highlight w:val="none"/>
          <w:lang w:eastAsia="zh-CN"/>
        </w:rPr>
      </w:pPr>
      <w:bookmarkStart w:id="13" w:name="_bookmark7"/>
      <w:bookmarkEnd w:id="13"/>
      <w:r>
        <w:rPr>
          <w:rFonts w:hint="eastAsia" w:ascii="微软雅黑" w:hAnsi="微软雅黑" w:eastAsia="微软雅黑"/>
          <w:b/>
          <w:highlight w:val="none"/>
          <w:lang w:eastAsia="zh-CN"/>
        </w:rPr>
        <w:t xml:space="preserve">第十条 </w:t>
      </w:r>
      <w:r>
        <w:rPr>
          <w:rFonts w:hint="eastAsia"/>
          <w:highlight w:val="none"/>
          <w:lang w:eastAsia="zh-CN"/>
        </w:rPr>
        <w:t>合理分配村庄建设用地规模。结合各行政村实际情况，按“区县级总量控制、乡（镇)单元统筹、行政村具体落实”的原则对村庄建设用地规模进行总量管控，合理预留腾退空间复垦过渡期，合理确定村庄建设用地规模。（村庄建设用地指标分解详见附表一）</w:t>
      </w:r>
    </w:p>
    <w:p>
      <w:pPr>
        <w:tabs>
          <w:tab w:val="left" w:pos="2200"/>
        </w:tabs>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第十</w:t>
      </w:r>
      <w:r>
        <w:rPr>
          <w:rFonts w:hint="eastAsia" w:ascii="微软雅黑" w:hAnsi="微软雅黑" w:eastAsia="微软雅黑"/>
          <w:b/>
          <w:sz w:val="28"/>
          <w:szCs w:val="28"/>
          <w:highlight w:val="none"/>
          <w:lang w:val="en-US" w:eastAsia="zh-CN"/>
        </w:rPr>
        <w:t>一</w:t>
      </w:r>
      <w:r>
        <w:rPr>
          <w:rFonts w:hint="eastAsia" w:ascii="微软雅黑" w:hAnsi="微软雅黑" w:eastAsia="微软雅黑"/>
          <w:b/>
          <w:sz w:val="28"/>
          <w:szCs w:val="28"/>
          <w:highlight w:val="none"/>
          <w:lang w:eastAsia="zh-CN"/>
        </w:rPr>
        <w:t xml:space="preserve">条 </w:t>
      </w:r>
      <w:r>
        <w:rPr>
          <w:sz w:val="28"/>
          <w:szCs w:val="28"/>
          <w:highlight w:val="none"/>
          <w:lang w:eastAsia="zh-CN"/>
        </w:rPr>
        <w:t>村庄建</w:t>
      </w:r>
      <w:r>
        <w:rPr>
          <w:spacing w:val="-3"/>
          <w:sz w:val="28"/>
          <w:szCs w:val="28"/>
          <w:highlight w:val="none"/>
          <w:lang w:eastAsia="zh-CN"/>
        </w:rPr>
        <w:t>设</w:t>
      </w:r>
      <w:r>
        <w:rPr>
          <w:sz w:val="28"/>
          <w:szCs w:val="28"/>
          <w:highlight w:val="none"/>
          <w:lang w:eastAsia="zh-CN"/>
        </w:rPr>
        <w:t>边界</w:t>
      </w:r>
      <w:r>
        <w:rPr>
          <w:spacing w:val="-3"/>
          <w:sz w:val="28"/>
          <w:szCs w:val="28"/>
          <w:highlight w:val="none"/>
          <w:lang w:eastAsia="zh-CN"/>
        </w:rPr>
        <w:t>管控</w:t>
      </w:r>
      <w:r>
        <w:rPr>
          <w:sz w:val="28"/>
          <w:szCs w:val="28"/>
          <w:highlight w:val="none"/>
          <w:lang w:eastAsia="zh-CN"/>
        </w:rPr>
        <w:t>指引如</w:t>
      </w:r>
      <w:r>
        <w:rPr>
          <w:spacing w:val="-3"/>
          <w:sz w:val="28"/>
          <w:szCs w:val="28"/>
          <w:highlight w:val="none"/>
          <w:lang w:eastAsia="zh-CN"/>
        </w:rPr>
        <w:t>下</w:t>
      </w:r>
      <w:r>
        <w:rPr>
          <w:sz w:val="28"/>
          <w:szCs w:val="28"/>
          <w:highlight w:val="none"/>
          <w:lang w:eastAsia="zh-CN"/>
        </w:rPr>
        <w:t>：</w:t>
      </w:r>
    </w:p>
    <w:p>
      <w:pPr>
        <w:pStyle w:val="12"/>
        <w:spacing w:line="360" w:lineRule="auto"/>
        <w:ind w:left="110" w:leftChars="50" w:right="110" w:rightChars="50" w:firstLine="560" w:firstLineChars="200"/>
        <w:rPr>
          <w:rFonts w:hint="eastAsia"/>
          <w:highlight w:val="none"/>
          <w:lang w:eastAsia="zh-CN"/>
        </w:rPr>
      </w:pPr>
      <w:r>
        <w:rPr>
          <w:highlight w:val="none"/>
          <w:lang w:eastAsia="zh-CN"/>
        </w:rPr>
        <w:t>（一）</w:t>
      </w:r>
      <w:r>
        <w:rPr>
          <w:rFonts w:hint="eastAsia"/>
          <w:highlight w:val="none"/>
          <w:lang w:eastAsia="zh-CN"/>
        </w:rPr>
        <w:t>已编制村庄规划的，村庄建设边界按照规划要求管控；未编制村庄规划的，村庄建设边界为《柳州市国土空间总体规划（2021—2035年）》数据库中确定的村庄建设区范围。未经批准不得随意调整修改村庄建设边界，因实际情况确需更改的，应按相关程序调整修改。</w:t>
      </w:r>
    </w:p>
    <w:p>
      <w:pPr>
        <w:pStyle w:val="12"/>
        <w:spacing w:line="360" w:lineRule="auto"/>
        <w:ind w:left="110" w:leftChars="50" w:right="110" w:rightChars="50" w:firstLine="560" w:firstLineChars="200"/>
        <w:rPr>
          <w:highlight w:val="none"/>
          <w:lang w:eastAsia="zh-CN"/>
        </w:rPr>
      </w:pPr>
      <w:r>
        <w:rPr>
          <w:highlight w:val="none"/>
          <w:lang w:eastAsia="zh-CN"/>
        </w:rPr>
        <w:t>（二）</w:t>
      </w:r>
      <w:r>
        <w:rPr>
          <w:rFonts w:hint="eastAsia"/>
          <w:spacing w:val="-1"/>
          <w:highlight w:val="none"/>
          <w:lang w:eastAsia="zh-CN"/>
        </w:rPr>
        <w:t>加强对乡村地区土地的规划、建设和监管，强化土地节约集约利用，通过土地综合整治、城乡建设用地增减挂钩等方式优化土地资源配置，保障各类村庄建设用地新增需求</w:t>
      </w:r>
      <w:r>
        <w:rPr>
          <w:spacing w:val="-5"/>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原则上本</w:t>
      </w:r>
      <w:r>
        <w:rPr>
          <w:rFonts w:hint="eastAsia"/>
          <w:highlight w:val="none"/>
          <w:lang w:val="en-US" w:eastAsia="zh-CN"/>
        </w:rPr>
        <w:t>通则</w:t>
      </w:r>
      <w:r>
        <w:rPr>
          <w:rFonts w:hint="eastAsia"/>
          <w:highlight w:val="none"/>
          <w:lang w:eastAsia="zh-CN"/>
        </w:rPr>
        <w:t>主要适用于村庄建设边界内符合条件的农民建房、乡村公共服务设施、商业服务业设施和公用设施建设、使用存量建设用地的乡村产业项目建设等情形。主要包括以下建设用地类型：农村宅基地、农村社区服务设施用地、公共管理与公共服务用地、商业服务业用地、工业用地、物流仓储用地、公用设施用地等。在充分进行可行性、必要性研究的基础上，在不影响安全、不破坏功能的前提下，允许建设区域性基础设施廊道，并应做好相应的补偿措施。</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（四）对村庄建设边界外的存量建设用地，通过土地整理、置换、复垦等方式逐渐向村庄建设边界内集中，原土地可根据实际需要调整为非建设用地。</w:t>
      </w:r>
    </w:p>
    <w:p>
      <w:pPr>
        <w:pStyle w:val="12"/>
        <w:tabs>
          <w:tab w:val="left" w:pos="2200"/>
        </w:tabs>
        <w:spacing w:line="360" w:lineRule="auto"/>
        <w:ind w:left="110" w:leftChars="50" w:right="110" w:rightChars="50" w:firstLine="560" w:firstLineChars="200"/>
        <w:rPr>
          <w:spacing w:val="-1"/>
          <w:highlight w:val="none"/>
          <w:lang w:eastAsia="zh-CN"/>
        </w:rPr>
      </w:pPr>
      <w:bookmarkStart w:id="14" w:name="_bookmark8"/>
      <w:bookmarkEnd w:id="14"/>
      <w:r>
        <w:rPr>
          <w:rFonts w:hint="eastAsia" w:ascii="微软雅黑" w:hAnsi="微软雅黑" w:eastAsia="微软雅黑"/>
          <w:b/>
          <w:highlight w:val="none"/>
          <w:lang w:eastAsia="zh-CN"/>
        </w:rPr>
        <w:t>第十</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历史文化保护线核心保护范围内，除必要的市政公用设施和公共服务设施外，禁止新建、扩建活动；建设控制地带内，新建、扩建、改建、重建、修缮和装饰装修建（构）筑物的高度、体量、风格、色彩等要与核心保护范围的传统风貌相协调。当历史文化保护线中不同类别保护对象的保护范围出现重叠时，应按其中较为严格的控制要求执行，其他管控规则还应依据国家及广西壮族自治区有关规定执行</w:t>
      </w:r>
      <w:r>
        <w:rPr>
          <w:spacing w:val="-1"/>
          <w:highlight w:val="none"/>
          <w:lang w:eastAsia="zh-CN"/>
        </w:rPr>
        <w:t>。</w:t>
      </w:r>
    </w:p>
    <w:p>
      <w:pPr>
        <w:pStyle w:val="12"/>
        <w:tabs>
          <w:tab w:val="left" w:pos="2200"/>
        </w:tabs>
        <w:spacing w:line="360" w:lineRule="auto"/>
        <w:ind w:left="110" w:leftChars="50" w:right="110" w:rightChars="50" w:firstLine="556" w:firstLineChars="200"/>
        <w:rPr>
          <w:rFonts w:hint="default"/>
          <w:spacing w:val="-1"/>
          <w:highlight w:val="none"/>
          <w:lang w:val="en-US" w:eastAsia="zh-CN"/>
        </w:rPr>
      </w:pPr>
      <w:r>
        <w:rPr>
          <w:rFonts w:hint="eastAsia"/>
          <w:spacing w:val="-1"/>
          <w:highlight w:val="none"/>
          <w:lang w:val="en-US" w:eastAsia="zh-CN"/>
        </w:rPr>
        <w:t>各级文物保护单位、古树名木等历史文化遗产严格按照文物保护相关法律及规划要求执行，未定级不可移动文物由县（区）级政府登记管理。鱼峰区不可移动文物保护名录详见附表七，非物质文化遗产代表性名录详见附表八；古树名木分布参见广西壮族自治区第二次古树名木普查结果、广西柳州市林业和园林局《古树名木查询》及《2025年柳州市古树名木查询》。</w:t>
      </w:r>
    </w:p>
    <w:p>
      <w:pPr>
        <w:pStyle w:val="12"/>
        <w:spacing w:line="360" w:lineRule="auto"/>
        <w:ind w:left="110" w:leftChars="50" w:right="110" w:rightChars="50" w:firstLine="560" w:firstLineChars="200"/>
        <w:jc w:val="both"/>
        <w:rPr>
          <w:rFonts w:hint="eastAsia"/>
          <w:highlight w:val="none"/>
          <w:lang w:eastAsia="zh-CN"/>
        </w:rPr>
      </w:pPr>
      <w:r>
        <w:rPr>
          <w:rFonts w:hint="eastAsia" w:ascii="微软雅黑" w:hAnsi="微软雅黑" w:eastAsia="微软雅黑"/>
          <w:b/>
          <w:highlight w:val="none"/>
          <w:lang w:eastAsia="zh-CN"/>
        </w:rPr>
        <w:t>第十</w:t>
      </w:r>
      <w:r>
        <w:rPr>
          <w:rFonts w:hint="eastAsia" w:ascii="微软雅黑" w:hAnsi="微软雅黑" w:eastAsia="微软雅黑"/>
          <w:b/>
          <w:highlight w:val="none"/>
          <w:lang w:val="en-US" w:eastAsia="zh-CN"/>
        </w:rPr>
        <w:t>三</w:t>
      </w:r>
      <w:r>
        <w:rPr>
          <w:rFonts w:hint="eastAsia" w:ascii="微软雅黑" w:hAnsi="微软雅黑" w:eastAsia="微软雅黑"/>
          <w:b/>
          <w:highlight w:val="none"/>
          <w:lang w:eastAsia="zh-CN"/>
        </w:rPr>
        <w:t xml:space="preserve">条 </w:t>
      </w:r>
      <w:r>
        <w:rPr>
          <w:rFonts w:hint="eastAsia"/>
          <w:highlight w:val="none"/>
          <w:lang w:eastAsia="zh-CN"/>
        </w:rPr>
        <w:t>河湖管理范围的管控要严格控制河流管理范围内各类水域、岸线等利用行为。主要涉及柳江干流、大桥河、三千河、里雍河、红罗河、高龙河等河流。</w:t>
      </w:r>
      <w:r>
        <w:rPr>
          <w:rFonts w:hint="eastAsia"/>
          <w:highlight w:val="none"/>
          <w:lang w:val="en-US" w:eastAsia="zh-CN"/>
        </w:rPr>
        <w:t>相关</w:t>
      </w:r>
      <w:r>
        <w:rPr>
          <w:rFonts w:hint="eastAsia"/>
          <w:highlight w:val="none"/>
          <w:lang w:eastAsia="zh-CN"/>
        </w:rPr>
        <w:t>管控规则应</w:t>
      </w:r>
      <w:r>
        <w:rPr>
          <w:rFonts w:hint="eastAsia"/>
          <w:highlight w:val="none"/>
          <w:lang w:val="en-US" w:eastAsia="zh-CN"/>
        </w:rPr>
        <w:t>按</w:t>
      </w:r>
      <w:r>
        <w:rPr>
          <w:rFonts w:hint="eastAsia"/>
          <w:highlight w:val="none"/>
          <w:lang w:eastAsia="zh-CN"/>
        </w:rPr>
        <w:t>国家及广西壮族自治区规定执行</w:t>
      </w:r>
      <w:r>
        <w:rPr>
          <w:spacing w:val="-3"/>
          <w:highlight w:val="none"/>
          <w:lang w:eastAsia="zh-CN"/>
        </w:rPr>
        <w:t>。</w:t>
      </w:r>
    </w:p>
    <w:p>
      <w:pPr>
        <w:pStyle w:val="12"/>
        <w:tabs>
          <w:tab w:val="left" w:pos="2200"/>
        </w:tabs>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第十</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加强洪涝风险控制线的管理，村庄防洪标准按10</w:t>
      </w:r>
      <w:r>
        <w:rPr>
          <w:rFonts w:hint="eastAsia"/>
          <w:highlight w:val="none"/>
          <w:lang w:val="en-US" w:eastAsia="zh-CN"/>
        </w:rPr>
        <w:t>-20</w:t>
      </w:r>
      <w:r>
        <w:rPr>
          <w:rFonts w:hint="eastAsia"/>
          <w:highlight w:val="none"/>
          <w:lang w:eastAsia="zh-CN"/>
        </w:rPr>
        <w:t>年一遇洪水设防标准，乡村建设原则上不能占用洪涝风险控制线内江河、湖泊、水库、山塘、蓄滞洪空间和排涝通道等，禁止新建、改建、扩建与防洪（潮）排涝和行洪安全无关的建构筑物，其他管控规则还应依据国家及广西壮族自治区有关规定执行</w:t>
      </w:r>
      <w:r>
        <w:rPr>
          <w:spacing w:val="-2"/>
          <w:highlight w:val="none"/>
          <w:lang w:eastAsia="zh-CN"/>
        </w:rPr>
        <w:t>。</w:t>
      </w:r>
    </w:p>
    <w:p>
      <w:pPr>
        <w:pStyle w:val="12"/>
        <w:tabs>
          <w:tab w:val="left" w:pos="2200"/>
        </w:tabs>
        <w:spacing w:line="360" w:lineRule="auto"/>
        <w:ind w:left="110" w:leftChars="50" w:right="110" w:rightChars="50" w:firstLine="560" w:firstLineChars="200"/>
        <w:rPr>
          <w:b/>
          <w:spacing w:val="-3"/>
          <w:highlight w:val="none"/>
          <w:lang w:eastAsia="zh-CN"/>
        </w:rPr>
      </w:pPr>
      <w:r>
        <w:rPr>
          <w:rFonts w:hint="eastAsia" w:ascii="微软雅黑" w:hAnsi="微软雅黑" w:eastAsia="微软雅黑"/>
          <w:b/>
          <w:highlight w:val="none"/>
          <w:lang w:eastAsia="zh-CN"/>
        </w:rPr>
        <w:t>第十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建设项目选址尽量避开地质灾害高易发区、隐患点和重点风险防范区，确实无法避让的必须严格执行地质灾害危险性评估制度，进行科学决策并落实地质灾害防治措施。</w:t>
      </w:r>
    </w:p>
    <w:p>
      <w:pPr>
        <w:pStyle w:val="12"/>
        <w:spacing w:line="360" w:lineRule="auto"/>
        <w:ind w:left="110" w:leftChars="50" w:right="110" w:rightChars="50" w:firstLine="560" w:firstLineChars="200"/>
        <w:jc w:val="both"/>
        <w:rPr>
          <w:rFonts w:hint="eastAsia" w:ascii="微软雅黑" w:hAnsi="微软雅黑" w:eastAsia="微软雅黑"/>
          <w:b/>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十六</w:t>
      </w:r>
      <w:r>
        <w:rPr>
          <w:rFonts w:hint="eastAsia" w:ascii="微软雅黑" w:hAnsi="微软雅黑" w:eastAsia="微软雅黑"/>
          <w:b/>
          <w:highlight w:val="none"/>
          <w:lang w:eastAsia="zh-CN"/>
        </w:rPr>
        <w:t xml:space="preserve">条 </w:t>
      </w:r>
      <w:r>
        <w:rPr>
          <w:rFonts w:hint="eastAsia"/>
          <w:highlight w:val="none"/>
          <w:lang w:eastAsia="zh-CN"/>
        </w:rPr>
        <w:t>乡村地区供水规模超过一千人的应当划定饮用水水源保护区，供水规模在一千人以下的水源地按照《分散式饮用水水源地环境保护指南（试行）》要求划定饮用水水源保护范围，其中农村一千人以下五百人以上集中式供水的饮用水水源，由区政府确定保护范围；五百人以下集中式供水的饮用水水源，由乡镇人民政府征求所在地村民委员会或者村民小组意见后确定保护范围。各级饮用水水源保护区管控规则应依据国家及广西壮族自治区有关规定执行。</w:t>
      </w:r>
    </w:p>
    <w:p>
      <w:pPr>
        <w:pStyle w:val="12"/>
        <w:tabs>
          <w:tab w:val="left" w:pos="2200"/>
        </w:tabs>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十七</w:t>
      </w:r>
      <w:r>
        <w:rPr>
          <w:rFonts w:hint="eastAsia" w:ascii="微软雅黑" w:hAnsi="微软雅黑" w:eastAsia="微软雅黑"/>
          <w:b/>
          <w:highlight w:val="none"/>
          <w:lang w:eastAsia="zh-CN"/>
        </w:rPr>
        <w:t xml:space="preserve">条 </w:t>
      </w:r>
      <w:r>
        <w:rPr>
          <w:rFonts w:hint="eastAsia"/>
          <w:highlight w:val="none"/>
          <w:lang w:eastAsia="zh-CN"/>
        </w:rPr>
        <w:t>土壤污染风险管控区、水域水系保护线等其他底线的管控规则应依据国家及广西壮族自治区有关规定执行</w:t>
      </w:r>
      <w:r>
        <w:rPr>
          <w:highlight w:val="none"/>
          <w:lang w:eastAsia="zh-CN"/>
        </w:rPr>
        <w:t>。</w:t>
      </w:r>
    </w:p>
    <w:p>
      <w:pPr>
        <w:pStyle w:val="2"/>
        <w:keepNext w:val="0"/>
        <w:keepLines w:val="0"/>
        <w:spacing w:before="0" w:after="0"/>
        <w:ind w:right="296"/>
        <w:jc w:val="center"/>
        <w:rPr>
          <w:rFonts w:ascii="仿宋" w:hAnsi="仿宋" w:eastAsia="仿宋"/>
          <w:sz w:val="28"/>
          <w:szCs w:val="28"/>
          <w:highlight w:val="none"/>
          <w:lang w:eastAsia="zh-CN"/>
        </w:rPr>
      </w:pPr>
      <w:bookmarkStart w:id="15" w:name="_bookmark9"/>
      <w:bookmarkEnd w:id="15"/>
      <w:bookmarkStart w:id="16" w:name="_Toc19789"/>
      <w:r>
        <w:rPr>
          <w:rFonts w:ascii="微软雅黑" w:hAnsi="微软雅黑" w:eastAsia="微软雅黑" w:cs="微软雅黑"/>
          <w:b/>
          <w:bCs/>
          <w:color w:val="auto"/>
          <w:sz w:val="32"/>
          <w:szCs w:val="32"/>
          <w:highlight w:val="none"/>
          <w:lang w:eastAsia="zh-CN"/>
        </w:rPr>
        <w:t>第四章 用地布局</w:t>
      </w:r>
      <w:bookmarkEnd w:id="16"/>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17" w:name="_bookmark10"/>
      <w:bookmarkEnd w:id="17"/>
      <w:r>
        <w:rPr>
          <w:rFonts w:ascii="微软雅黑" w:hAnsi="微软雅黑" w:eastAsia="微软雅黑" w:cs="微软雅黑"/>
          <w:b/>
          <w:bCs/>
          <w:color w:val="auto"/>
          <w:sz w:val="30"/>
          <w:szCs w:val="30"/>
          <w:highlight w:val="none"/>
          <w:lang w:eastAsia="zh-CN"/>
        </w:rPr>
        <w:t>第一节 村庄建设用地布局通用要求</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十八</w:t>
      </w:r>
      <w:r>
        <w:rPr>
          <w:rFonts w:hint="eastAsia" w:ascii="微软雅黑" w:hAnsi="微软雅黑" w:eastAsia="微软雅黑"/>
          <w:b/>
          <w:sz w:val="28"/>
          <w:szCs w:val="28"/>
          <w:highlight w:val="none"/>
          <w:lang w:eastAsia="zh-CN"/>
        </w:rPr>
        <w:t xml:space="preserve">条 </w:t>
      </w:r>
      <w:r>
        <w:rPr>
          <w:sz w:val="28"/>
          <w:szCs w:val="28"/>
          <w:highlight w:val="none"/>
          <w:lang w:eastAsia="zh-CN"/>
        </w:rPr>
        <w:t>村庄建设用地选址应遵循如下原则：</w:t>
      </w:r>
    </w:p>
    <w:p>
      <w:pPr>
        <w:pStyle w:val="12"/>
        <w:numPr>
          <w:ilvl w:val="0"/>
          <w:numId w:val="1"/>
        </w:numPr>
        <w:spacing w:line="360" w:lineRule="auto"/>
        <w:ind w:left="110" w:leftChars="50" w:right="110" w:rightChars="50" w:firstLine="560" w:firstLineChars="200"/>
        <w:rPr>
          <w:rFonts w:hint="eastAsia"/>
          <w:highlight w:val="none"/>
          <w:lang w:val="en-US" w:eastAsia="zh-CN"/>
        </w:rPr>
      </w:pPr>
      <w:r>
        <w:rPr>
          <w:rFonts w:hint="eastAsia"/>
          <w:highlight w:val="none"/>
          <w:lang w:val="en-US" w:eastAsia="zh-CN"/>
        </w:rPr>
        <w:t>村庄建设用地选址应避让永久基本农田。</w:t>
      </w:r>
    </w:p>
    <w:p>
      <w:pPr>
        <w:pStyle w:val="12"/>
        <w:numPr>
          <w:ilvl w:val="0"/>
          <w:numId w:val="1"/>
        </w:numPr>
        <w:spacing w:line="360" w:lineRule="auto"/>
        <w:ind w:left="110" w:leftChars="50" w:right="110" w:rightChars="50" w:firstLine="560" w:firstLineChars="200"/>
        <w:rPr>
          <w:rFonts w:hint="default"/>
          <w:highlight w:val="none"/>
          <w:lang w:val="en-US" w:eastAsia="zh-CN"/>
        </w:rPr>
      </w:pPr>
      <w:r>
        <w:rPr>
          <w:rFonts w:hint="eastAsia"/>
          <w:highlight w:val="none"/>
          <w:lang w:val="en-US" w:eastAsia="zh-CN"/>
        </w:rPr>
        <w:t>村庄建设活动应符合《广西生态保护红线监管办法》要求。</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w:t>
      </w:r>
      <w:r>
        <w:rPr>
          <w:rFonts w:hint="eastAsia"/>
          <w:highlight w:val="none"/>
          <w:lang w:val="en-US" w:eastAsia="zh-CN"/>
        </w:rPr>
        <w:t>三</w:t>
      </w:r>
      <w:r>
        <w:rPr>
          <w:rFonts w:hint="eastAsia"/>
          <w:highlight w:val="none"/>
          <w:lang w:eastAsia="zh-CN"/>
        </w:rPr>
        <w:t>）节约集约利用土地，村庄建设宜集中布局，优先在村庄建设边界内选址各类用地，不占或少占耕地</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w:t>
      </w:r>
      <w:r>
        <w:rPr>
          <w:rFonts w:hint="eastAsia"/>
          <w:highlight w:val="none"/>
          <w:lang w:val="en-US" w:eastAsia="zh-CN"/>
        </w:rPr>
        <w:t>四</w:t>
      </w:r>
      <w:r>
        <w:rPr>
          <w:highlight w:val="none"/>
          <w:lang w:eastAsia="zh-CN"/>
        </w:rPr>
        <w:t>）</w:t>
      </w:r>
      <w:r>
        <w:rPr>
          <w:rFonts w:hint="eastAsia"/>
          <w:highlight w:val="none"/>
          <w:lang w:eastAsia="zh-CN"/>
        </w:rPr>
        <w:t>应与旧宅改造、土地整理、村庄建设用地复垦相结合，充分利用原有闲置宅基地、村内空闲地、村周边的丘陵坡地或其他未利用地</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w:t>
      </w:r>
      <w:r>
        <w:rPr>
          <w:rFonts w:hint="eastAsia"/>
          <w:highlight w:val="none"/>
          <w:lang w:val="en-US" w:eastAsia="zh-CN"/>
        </w:rPr>
        <w:t>五</w:t>
      </w:r>
      <w:r>
        <w:rPr>
          <w:highlight w:val="none"/>
          <w:lang w:eastAsia="zh-CN"/>
        </w:rPr>
        <w:t>）应当选址在地质条件较好、环境适宜、交通方便的地段。</w:t>
      </w:r>
    </w:p>
    <w:p>
      <w:pPr>
        <w:pStyle w:val="12"/>
        <w:spacing w:line="360" w:lineRule="auto"/>
        <w:ind w:left="110" w:leftChars="50" w:right="110" w:rightChars="50" w:firstLine="560" w:firstLineChars="200"/>
        <w:rPr>
          <w:highlight w:val="none"/>
          <w:lang w:eastAsia="zh-CN"/>
        </w:rPr>
      </w:pPr>
      <w:r>
        <w:rPr>
          <w:highlight w:val="none"/>
          <w:lang w:eastAsia="zh-CN"/>
        </w:rPr>
        <w:t>（</w:t>
      </w:r>
      <w:r>
        <w:rPr>
          <w:rFonts w:hint="eastAsia"/>
          <w:highlight w:val="none"/>
          <w:lang w:val="en-US" w:eastAsia="zh-CN"/>
        </w:rPr>
        <w:t>六</w:t>
      </w:r>
      <w:r>
        <w:rPr>
          <w:highlight w:val="none"/>
          <w:lang w:eastAsia="zh-CN"/>
        </w:rPr>
        <w:t>）</w:t>
      </w:r>
      <w:r>
        <w:rPr>
          <w:rFonts w:hint="eastAsia"/>
          <w:highlight w:val="none"/>
          <w:lang w:eastAsia="zh-CN"/>
        </w:rPr>
        <w:t>选址布局应满足地质灾害及防洪排涝等防灾减灾、环保邻避、环境适宜、历史文化保护等要求</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w:t>
      </w:r>
      <w:r>
        <w:rPr>
          <w:rFonts w:hint="eastAsia"/>
          <w:highlight w:val="none"/>
          <w:lang w:val="en-US" w:eastAsia="zh-CN"/>
        </w:rPr>
        <w:t>七</w:t>
      </w:r>
      <w:r>
        <w:rPr>
          <w:highlight w:val="none"/>
          <w:lang w:eastAsia="zh-CN"/>
        </w:rPr>
        <w:t>）</w:t>
      </w:r>
      <w:r>
        <w:rPr>
          <w:rFonts w:hint="eastAsia"/>
          <w:highlight w:val="none"/>
          <w:lang w:eastAsia="zh-CN"/>
        </w:rPr>
        <w:t>还应符合柳州市国土空间总体规划和相关专项规划的要求</w:t>
      </w:r>
      <w:r>
        <w:rPr>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第十</w:t>
      </w:r>
      <w:r>
        <w:rPr>
          <w:rFonts w:hint="eastAsia" w:ascii="微软雅黑" w:hAnsi="微软雅黑" w:eastAsia="微软雅黑"/>
          <w:b/>
          <w:sz w:val="28"/>
          <w:szCs w:val="28"/>
          <w:highlight w:val="none"/>
          <w:lang w:val="en-US" w:eastAsia="zh-CN"/>
        </w:rPr>
        <w:t>九</w:t>
      </w:r>
      <w:r>
        <w:rPr>
          <w:rFonts w:hint="eastAsia" w:ascii="微软雅黑" w:hAnsi="微软雅黑" w:eastAsia="微软雅黑"/>
          <w:b/>
          <w:sz w:val="28"/>
          <w:szCs w:val="28"/>
          <w:highlight w:val="none"/>
          <w:lang w:eastAsia="zh-CN"/>
        </w:rPr>
        <w:t xml:space="preserve">条 </w:t>
      </w:r>
      <w:r>
        <w:rPr>
          <w:sz w:val="28"/>
          <w:szCs w:val="28"/>
          <w:highlight w:val="none"/>
          <w:lang w:eastAsia="zh-CN"/>
        </w:rPr>
        <w:t>村庄建设用地选址禁止地段如下：</w:t>
      </w:r>
    </w:p>
    <w:p>
      <w:pPr>
        <w:pStyle w:val="12"/>
        <w:spacing w:line="360" w:lineRule="auto"/>
        <w:ind w:left="110" w:leftChars="50" w:right="110" w:rightChars="50" w:firstLine="560" w:firstLineChars="200"/>
        <w:rPr>
          <w:rFonts w:hint="eastAsia"/>
          <w:color w:val="000000" w:themeColor="text1"/>
          <w:highlight w:val="none"/>
          <w:lang w:eastAsia="zh-CN"/>
          <w14:textFill>
            <w14:solidFill>
              <w14:schemeClr w14:val="tx1"/>
            </w14:solidFill>
          </w14:textFill>
        </w:rPr>
      </w:pPr>
      <w:r>
        <w:rPr>
          <w:highlight w:val="none"/>
          <w:lang w:eastAsia="zh-CN"/>
        </w:rPr>
        <w:t>（一）</w:t>
      </w:r>
      <w:r>
        <w:rPr>
          <w:rFonts w:hint="eastAsia"/>
          <w:highlight w:val="none"/>
          <w:lang w:eastAsia="zh-CN"/>
        </w:rPr>
        <w:t>永久基本农田保护红线、生态保护</w:t>
      </w:r>
      <w:r>
        <w:rPr>
          <w:rFonts w:hint="eastAsia"/>
          <w:highlight w:val="none"/>
          <w:lang w:val="en-US" w:eastAsia="zh-CN"/>
        </w:rPr>
        <w:t>红线</w:t>
      </w:r>
      <w:r>
        <w:rPr>
          <w:rFonts w:hint="eastAsia"/>
          <w:highlight w:val="none"/>
          <w:lang w:eastAsia="zh-CN"/>
        </w:rPr>
        <w:t>、自然保护地核心保护区、洪涝风险控制线等底线管</w:t>
      </w:r>
      <w:r>
        <w:rPr>
          <w:rFonts w:hint="eastAsia"/>
          <w:color w:val="000000" w:themeColor="text1"/>
          <w:highlight w:val="none"/>
          <w:lang w:eastAsia="zh-CN"/>
          <w14:textFill>
            <w14:solidFill>
              <w14:schemeClr w14:val="tx1"/>
            </w14:solidFill>
          </w14:textFill>
        </w:rPr>
        <w:t>控区域</w:t>
      </w:r>
      <w:r>
        <w:rPr>
          <w:color w:val="000000" w:themeColor="text1"/>
          <w:highlight w:val="none"/>
          <w:lang w:eastAsia="zh-CN"/>
          <w14:textFill>
            <w14:solidFill>
              <w14:schemeClr w14:val="tx1"/>
            </w14:solidFill>
          </w14:textFill>
        </w:rPr>
        <w:t>。</w:t>
      </w:r>
    </w:p>
    <w:p>
      <w:pPr>
        <w:pStyle w:val="12"/>
        <w:spacing w:line="360" w:lineRule="auto"/>
        <w:ind w:left="110" w:leftChars="50" w:right="110" w:rightChars="50" w:firstLine="560" w:firstLineChars="200"/>
        <w:rPr>
          <w:rFonts w:hint="eastAsia"/>
          <w:highlight w:val="none"/>
          <w:lang w:eastAsia="zh-CN"/>
        </w:rPr>
      </w:pPr>
      <w:r>
        <w:rPr>
          <w:color w:val="000000" w:themeColor="text1"/>
          <w:highlight w:val="none"/>
          <w:lang w:eastAsia="zh-CN"/>
          <w14:textFill>
            <w14:solidFill>
              <w14:schemeClr w14:val="tx1"/>
            </w14:solidFill>
          </w14:textFill>
        </w:rPr>
        <w:t>（二）</w:t>
      </w:r>
      <w:r>
        <w:rPr>
          <w:rFonts w:hint="eastAsia"/>
          <w:color w:val="000000" w:themeColor="text1"/>
          <w:highlight w:val="none"/>
          <w:lang w:eastAsia="zh-CN"/>
          <w14:textFill>
            <w14:solidFill>
              <w14:schemeClr w14:val="tx1"/>
            </w14:solidFill>
          </w14:textFill>
        </w:rPr>
        <w:t>河道管理范围和水库、堤防、渠道管理范围内</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未通过工程措施且未达到安全防护要求的山体滑坡、泥石流、危岩、塌陷等地质灾害易发区或次生灾害隐患易发地段以及洪涝灾害等危险地段</w:t>
      </w:r>
      <w:r>
        <w:rPr>
          <w:highlight w:val="none"/>
          <w:lang w:eastAsia="zh-CN"/>
        </w:rPr>
        <w:t>。</w:t>
      </w:r>
    </w:p>
    <w:p>
      <w:pPr>
        <w:pStyle w:val="12"/>
        <w:spacing w:line="360" w:lineRule="auto"/>
        <w:ind w:left="110" w:leftChars="50" w:right="110" w:rightChars="50" w:firstLine="560" w:firstLineChars="200"/>
        <w:rPr>
          <w:rFonts w:hint="eastAsia"/>
          <w:spacing w:val="-7"/>
          <w:highlight w:val="none"/>
          <w:lang w:eastAsia="zh-CN"/>
        </w:rPr>
      </w:pPr>
      <w:r>
        <w:rPr>
          <w:highlight w:val="none"/>
          <w:lang w:eastAsia="zh-CN"/>
        </w:rPr>
        <w:t>（四</w:t>
      </w:r>
      <w:r>
        <w:rPr>
          <w:spacing w:val="-15"/>
          <w:highlight w:val="none"/>
          <w:lang w:eastAsia="zh-CN"/>
        </w:rPr>
        <w:t>）</w:t>
      </w:r>
      <w:r>
        <w:rPr>
          <w:rFonts w:hint="eastAsia"/>
          <w:spacing w:val="-7"/>
          <w:highlight w:val="none"/>
          <w:lang w:eastAsia="zh-CN"/>
        </w:rPr>
        <w:t>区域输油、输气管道上、高压供电走廊以及危险化学品生产企业、危险化学品储存仓库或危房旁边等危险地段。（村庄建设用地负面清单详见附表三）</w:t>
      </w:r>
    </w:p>
    <w:p>
      <w:pPr>
        <w:pStyle w:val="12"/>
        <w:spacing w:line="360" w:lineRule="auto"/>
        <w:ind w:left="110" w:leftChars="50" w:right="110" w:rightChars="50" w:firstLine="532" w:firstLineChars="200"/>
        <w:rPr>
          <w:rFonts w:hint="eastAsia"/>
          <w:spacing w:val="-7"/>
          <w:highlight w:val="none"/>
          <w:lang w:eastAsia="zh-CN"/>
        </w:rPr>
      </w:pPr>
      <w:r>
        <w:rPr>
          <w:rFonts w:hint="eastAsia"/>
          <w:spacing w:val="-7"/>
          <w:highlight w:val="none"/>
          <w:lang w:eastAsia="zh-CN"/>
        </w:rPr>
        <w:t>（五）禁止在饮用水水源一级保护区内新建、改建、扩建与供水设施和保护水源无关的建设项目。</w:t>
      </w:r>
    </w:p>
    <w:p>
      <w:pPr>
        <w:pStyle w:val="12"/>
        <w:spacing w:line="360" w:lineRule="auto"/>
        <w:ind w:left="110" w:leftChars="50" w:right="110" w:rightChars="50" w:firstLine="532" w:firstLineChars="200"/>
        <w:rPr>
          <w:rFonts w:hint="eastAsia"/>
          <w:spacing w:val="-7"/>
          <w:highlight w:val="none"/>
          <w:lang w:eastAsia="zh-CN"/>
        </w:rPr>
        <w:sectPr>
          <w:pgSz w:w="11910" w:h="16840"/>
          <w:pgMar w:top="148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18" w:name="_bookmark11"/>
      <w:bookmarkEnd w:id="18"/>
      <w:r>
        <w:rPr>
          <w:rFonts w:ascii="微软雅黑" w:hAnsi="微软雅黑" w:eastAsia="微软雅黑" w:cs="微软雅黑"/>
          <w:b/>
          <w:bCs/>
          <w:color w:val="auto"/>
          <w:sz w:val="30"/>
          <w:szCs w:val="30"/>
          <w:highlight w:val="none"/>
          <w:lang w:eastAsia="zh-CN"/>
        </w:rPr>
        <w:t>第二节 村民住房布局</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 xml:space="preserve">第二十条 </w:t>
      </w:r>
      <w:r>
        <w:rPr>
          <w:rFonts w:hint="eastAsia"/>
          <w:highlight w:val="none"/>
          <w:lang w:eastAsia="zh-CN"/>
        </w:rPr>
        <w:t>除通用选址要求外，村民住宅选址还应当符合以下规定：</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（一）新建村民住房应相对集中、就近选址，有利于生产和生活。</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靠近生产区或废弃物处理设施的村民住房生活区宜集中布置在全年主导风向的上风或侧风方向，并应在村民住房生活区和生产区或废弃物处理设施之间设置符合国家现行标准《村镇规划卫生规范》（GB18055）规定的卫生防护距离，可在其中设置防护林隔离带。</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三）农村村民申请宅基地的，应当以户为单位向所在村民小组或者村民委员会提出申请。村民小组或村民委员会初审并公示后报送乡镇政府，由乡镇政府审核批准，并出具《农村宅基地批准书》和发放乡村建设规划许可证。</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村民住宅申请材料应包含申请理由、拟用地位置和面积、拟建房层高和面积、用地建房相邻权益人的意见等情况；村民小组或村民委员会收到申请后应在5个工作日内组织会议讨论，初审通过后，在本小组或本村范围内公示10日，审查通过的在《农村宅基地和建房（规划许可）申请表》中签署意见并盖章，</w:t>
      </w:r>
      <w:r>
        <w:rPr>
          <w:rFonts w:hint="eastAsia"/>
          <w:highlight w:val="none"/>
          <w:lang w:val="en-US" w:eastAsia="zh-CN"/>
        </w:rPr>
        <w:t>并</w:t>
      </w:r>
      <w:r>
        <w:rPr>
          <w:rFonts w:hint="eastAsia"/>
          <w:highlight w:val="none"/>
          <w:lang w:eastAsia="zh-CN"/>
        </w:rPr>
        <w:t>报镇人民政府审核批准。</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（四）其他符合上位及相关规划针对村民住房选址的管控要求。</w:t>
      </w:r>
    </w:p>
    <w:p>
      <w:pPr>
        <w:pStyle w:val="12"/>
        <w:spacing w:line="360" w:lineRule="auto"/>
        <w:ind w:left="110" w:leftChars="50" w:right="110" w:rightChars="50" w:firstLine="560" w:firstLineChars="200"/>
        <w:rPr>
          <w:rFonts w:ascii="微软雅黑" w:hAnsi="微软雅黑" w:eastAsia="微软雅黑"/>
          <w:b/>
          <w:highlight w:val="none"/>
          <w:lang w:eastAsia="zh-CN"/>
        </w:rPr>
      </w:pPr>
      <w:r>
        <w:rPr>
          <w:rFonts w:hint="eastAsia" w:ascii="微软雅黑" w:hAnsi="微软雅黑" w:eastAsia="微软雅黑"/>
          <w:b/>
          <w:highlight w:val="none"/>
          <w:lang w:eastAsia="zh-CN"/>
        </w:rPr>
        <w:t>第二十</w:t>
      </w:r>
      <w:r>
        <w:rPr>
          <w:rFonts w:hint="eastAsia" w:ascii="微软雅黑" w:hAnsi="微软雅黑" w:eastAsia="微软雅黑"/>
          <w:b/>
          <w:highlight w:val="none"/>
          <w:lang w:val="en-US" w:eastAsia="zh-CN"/>
        </w:rPr>
        <w:t>一</w:t>
      </w:r>
      <w:r>
        <w:rPr>
          <w:rFonts w:hint="eastAsia" w:ascii="微软雅黑" w:hAnsi="微软雅黑" w:eastAsia="微软雅黑"/>
          <w:b/>
          <w:highlight w:val="none"/>
          <w:lang w:eastAsia="zh-CN"/>
        </w:rPr>
        <w:t xml:space="preserve">条 </w:t>
      </w:r>
      <w:r>
        <w:rPr>
          <w:rFonts w:hint="eastAsia"/>
          <w:highlight w:val="none"/>
          <w:lang w:eastAsia="zh-CN"/>
        </w:rPr>
        <w:t>村民住宅布局要求：</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（一）地形适应性布局：住房选址应充分考虑地形条件，避免在山地陡峭、易发生地质灾害的区域建设。平原和台地地区可适当集中布局，利用地形优势进行合理规划。</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集中与分散相结合：根据鱼峰区村庄分布特点，西部、西北部及区域城郊融合地区鼓励适度集中建设，提高土地利用率，形成规模效应；南部、东南部距离城镇集聚区较远的村庄则根据地形和交通条件，采取灵活分散的布局方式，保持与自然环境的和谐共生。</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（三）尊重历史与现状：对于城中村等已形成一定规模和功能的区域，住房选址应尊重历史发展轨迹和现状布局，通过改造提升而非大规模拆建来改善居住条件。</w:t>
      </w:r>
    </w:p>
    <w:p>
      <w:pPr>
        <w:pStyle w:val="12"/>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19" w:name="_bookmark12"/>
      <w:bookmarkEnd w:id="19"/>
      <w:r>
        <w:rPr>
          <w:rFonts w:ascii="微软雅黑" w:hAnsi="微软雅黑" w:eastAsia="微软雅黑" w:cs="微软雅黑"/>
          <w:b/>
          <w:bCs/>
          <w:color w:val="auto"/>
          <w:sz w:val="30"/>
          <w:szCs w:val="30"/>
          <w:highlight w:val="none"/>
          <w:lang w:eastAsia="zh-CN"/>
        </w:rPr>
        <w:t>第三节 乡村公共服务设施用地布局</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第二十</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 xml:space="preserve">条 </w:t>
      </w:r>
      <w:r>
        <w:rPr>
          <w:rFonts w:hint="eastAsia"/>
          <w:highlight w:val="none"/>
          <w:lang w:eastAsia="zh-CN"/>
        </w:rPr>
        <w:t>综合考虑多数乡村居民的出行意愿、出行方式以及现状公共服务设施的建设状况，按照村委所在自然村和非村委所在自然村两个层级合理配置公共服务设施，并根据服务功能进行布局，配置标准宜参照下表执行</w:t>
      </w:r>
      <w:r>
        <w:rPr>
          <w:highlight w:val="none"/>
          <w:lang w:eastAsia="zh-CN"/>
        </w:rPr>
        <w:t>。</w:t>
      </w: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4-1  </w:t>
      </w:r>
      <w:r>
        <w:rPr>
          <w:rFonts w:hint="eastAsia"/>
          <w:sz w:val="28"/>
          <w:szCs w:val="28"/>
          <w:highlight w:val="none"/>
          <w:lang w:eastAsia="zh-CN"/>
        </w:rPr>
        <w:t>乡村公共服务设施配置表</w:t>
      </w:r>
    </w:p>
    <w:tbl>
      <w:tblPr>
        <w:tblStyle w:val="44"/>
        <w:tblW w:w="9733"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1836"/>
        <w:gridCol w:w="1059"/>
        <w:gridCol w:w="1050"/>
        <w:gridCol w:w="3674"/>
        <w:gridCol w:w="1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846" w:type="dxa"/>
            <w:vMerge w:val="restart"/>
          </w:tcPr>
          <w:p>
            <w:pPr>
              <w:pStyle w:val="46"/>
              <w:ind w:left="110" w:leftChars="50" w:right="110" w:rightChars="50"/>
              <w:rPr>
                <w:highlight w:val="none"/>
                <w:lang w:eastAsia="zh-CN"/>
              </w:rPr>
            </w:pPr>
          </w:p>
          <w:p>
            <w:pPr>
              <w:pStyle w:val="46"/>
              <w:ind w:left="110" w:leftChars="50" w:right="110" w:rightChars="50"/>
              <w:rPr>
                <w:highlight w:val="none"/>
              </w:rPr>
            </w:pPr>
            <w:r>
              <w:rPr>
                <w:highlight w:val="none"/>
              </w:rPr>
              <w:t>分类</w:t>
            </w:r>
          </w:p>
        </w:tc>
        <w:tc>
          <w:tcPr>
            <w:tcW w:w="1836" w:type="dxa"/>
            <w:vMerge w:val="restart"/>
          </w:tcPr>
          <w:p>
            <w:pPr>
              <w:pStyle w:val="46"/>
              <w:ind w:left="110" w:leftChars="50" w:right="110" w:rightChars="50"/>
              <w:rPr>
                <w:highlight w:val="none"/>
              </w:rPr>
            </w:pPr>
          </w:p>
          <w:p>
            <w:pPr>
              <w:pStyle w:val="46"/>
              <w:ind w:left="110" w:leftChars="50" w:right="110" w:rightChars="50"/>
              <w:rPr>
                <w:highlight w:val="none"/>
              </w:rPr>
            </w:pPr>
            <w:r>
              <w:rPr>
                <w:highlight w:val="none"/>
              </w:rPr>
              <w:t>设施名称</w:t>
            </w:r>
          </w:p>
        </w:tc>
        <w:tc>
          <w:tcPr>
            <w:tcW w:w="2109" w:type="dxa"/>
            <w:gridSpan w:val="2"/>
          </w:tcPr>
          <w:p>
            <w:pPr>
              <w:pStyle w:val="46"/>
              <w:ind w:left="110" w:leftChars="50" w:right="110" w:rightChars="50"/>
              <w:rPr>
                <w:highlight w:val="none"/>
              </w:rPr>
            </w:pPr>
            <w:r>
              <w:rPr>
                <w:highlight w:val="none"/>
              </w:rPr>
              <w:t>圈层划分</w:t>
            </w:r>
          </w:p>
        </w:tc>
        <w:tc>
          <w:tcPr>
            <w:tcW w:w="3674" w:type="dxa"/>
            <w:vMerge w:val="restart"/>
          </w:tcPr>
          <w:p>
            <w:pPr>
              <w:pStyle w:val="46"/>
              <w:ind w:left="110" w:leftChars="50" w:right="110" w:rightChars="50"/>
              <w:rPr>
                <w:highlight w:val="none"/>
              </w:rPr>
            </w:pPr>
          </w:p>
          <w:p>
            <w:pPr>
              <w:pStyle w:val="46"/>
              <w:ind w:left="110" w:leftChars="50" w:right="110" w:rightChars="50"/>
              <w:rPr>
                <w:highlight w:val="none"/>
              </w:rPr>
            </w:pPr>
            <w:r>
              <w:rPr>
                <w:highlight w:val="none"/>
              </w:rPr>
              <w:t>配置要求</w:t>
            </w:r>
          </w:p>
        </w:tc>
        <w:tc>
          <w:tcPr>
            <w:tcW w:w="1268" w:type="dxa"/>
            <w:vMerge w:val="restart"/>
          </w:tcPr>
          <w:p>
            <w:pPr>
              <w:pStyle w:val="46"/>
              <w:ind w:left="110" w:leftChars="50" w:right="110" w:rightChars="50"/>
              <w:rPr>
                <w:highlight w:val="none"/>
              </w:rPr>
            </w:pPr>
          </w:p>
          <w:p>
            <w:pPr>
              <w:pStyle w:val="46"/>
              <w:ind w:left="110" w:leftChars="50" w:right="110" w:rightChars="50"/>
              <w:rPr>
                <w:highlight w:val="none"/>
              </w:rPr>
            </w:pPr>
            <w:r>
              <w:rPr>
                <w:highlight w:val="none"/>
              </w:rPr>
              <w:t>配置指标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846" w:type="dxa"/>
            <w:vMerge w:val="continue"/>
            <w:tcBorders>
              <w:top w:val="nil"/>
            </w:tcBorders>
          </w:tcPr>
          <w:p>
            <w:pPr>
              <w:ind w:left="110" w:leftChars="50" w:right="110" w:rightChars="50"/>
              <w:jc w:val="center"/>
              <w:rPr>
                <w:highlight w:val="none"/>
              </w:rPr>
            </w:pPr>
          </w:p>
        </w:tc>
        <w:tc>
          <w:tcPr>
            <w:tcW w:w="1836" w:type="dxa"/>
            <w:vMerge w:val="continue"/>
            <w:tcBorders>
              <w:top w:val="nil"/>
            </w:tcBorders>
          </w:tcPr>
          <w:p>
            <w:pPr>
              <w:ind w:left="110" w:leftChars="50" w:right="110" w:rightChars="50"/>
              <w:jc w:val="center"/>
              <w:rPr>
                <w:highlight w:val="none"/>
              </w:rPr>
            </w:pPr>
          </w:p>
        </w:tc>
        <w:tc>
          <w:tcPr>
            <w:tcW w:w="1059" w:type="dxa"/>
          </w:tcPr>
          <w:p>
            <w:pPr>
              <w:pStyle w:val="46"/>
              <w:ind w:left="110" w:leftChars="50" w:right="110" w:rightChars="50"/>
              <w:rPr>
                <w:highlight w:val="none"/>
              </w:rPr>
            </w:pPr>
            <w:r>
              <w:rPr>
                <w:highlight w:val="none"/>
              </w:rPr>
              <w:t>村委所在自然村</w:t>
            </w:r>
          </w:p>
        </w:tc>
        <w:tc>
          <w:tcPr>
            <w:tcW w:w="1050" w:type="dxa"/>
          </w:tcPr>
          <w:p>
            <w:pPr>
              <w:pStyle w:val="46"/>
              <w:ind w:left="110" w:leftChars="50" w:right="110" w:rightChars="50"/>
              <w:rPr>
                <w:highlight w:val="none"/>
              </w:rPr>
            </w:pPr>
            <w:r>
              <w:rPr>
                <w:highlight w:val="none"/>
              </w:rPr>
              <w:t>非村委所在自然村</w:t>
            </w:r>
          </w:p>
        </w:tc>
        <w:tc>
          <w:tcPr>
            <w:tcW w:w="3674" w:type="dxa"/>
            <w:vMerge w:val="continue"/>
            <w:tcBorders>
              <w:top w:val="nil"/>
            </w:tcBorders>
          </w:tcPr>
          <w:p>
            <w:pPr>
              <w:ind w:left="110" w:leftChars="50" w:right="110" w:rightChars="50"/>
              <w:jc w:val="center"/>
              <w:rPr>
                <w:highlight w:val="none"/>
              </w:rPr>
            </w:pPr>
          </w:p>
        </w:tc>
        <w:tc>
          <w:tcPr>
            <w:tcW w:w="1268" w:type="dxa"/>
            <w:vMerge w:val="continue"/>
            <w:tcBorders>
              <w:top w:val="nil"/>
            </w:tcBorders>
          </w:tcPr>
          <w:p>
            <w:pPr>
              <w:ind w:left="110" w:leftChars="50" w:right="110" w:rightChars="50"/>
              <w:jc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846" w:type="dxa"/>
          </w:tcPr>
          <w:p>
            <w:pPr>
              <w:pStyle w:val="46"/>
              <w:ind w:left="110" w:leftChars="50" w:right="110" w:rightChars="50"/>
              <w:rPr>
                <w:highlight w:val="none"/>
              </w:rPr>
            </w:pPr>
            <w:r>
              <w:rPr>
                <w:highlight w:val="none"/>
              </w:rPr>
              <w:t>行政管理</w:t>
            </w:r>
          </w:p>
        </w:tc>
        <w:tc>
          <w:tcPr>
            <w:tcW w:w="1836" w:type="dxa"/>
          </w:tcPr>
          <w:p>
            <w:pPr>
              <w:pStyle w:val="46"/>
              <w:ind w:left="110" w:leftChars="50" w:right="110" w:rightChars="50"/>
              <w:rPr>
                <w:highlight w:val="none"/>
              </w:rPr>
            </w:pPr>
            <w:r>
              <w:rPr>
                <w:highlight w:val="none"/>
              </w:rPr>
              <w:t>村务室</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lang w:eastAsia="zh-CN"/>
              </w:rPr>
            </w:pPr>
            <w:r>
              <w:rPr>
                <w:spacing w:val="-9"/>
                <w:highlight w:val="none"/>
                <w:lang w:eastAsia="zh-CN"/>
              </w:rPr>
              <w:t>各行政村设</w:t>
            </w:r>
            <w:r>
              <w:rPr>
                <w:highlight w:val="none"/>
                <w:lang w:eastAsia="zh-CN"/>
              </w:rPr>
              <w:t>1</w:t>
            </w:r>
            <w:r>
              <w:rPr>
                <w:spacing w:val="-4"/>
                <w:highlight w:val="none"/>
                <w:lang w:eastAsia="zh-CN"/>
              </w:rPr>
              <w:t>处，村域面积较大或集中</w:t>
            </w:r>
            <w:r>
              <w:rPr>
                <w:spacing w:val="-3"/>
                <w:highlight w:val="none"/>
                <w:lang w:eastAsia="zh-CN"/>
              </w:rPr>
              <w:t>居民点较分散情况下可多点设置</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846" w:type="dxa"/>
            <w:vMerge w:val="restart"/>
          </w:tcPr>
          <w:p>
            <w:pPr>
              <w:pStyle w:val="46"/>
              <w:ind w:left="110" w:leftChars="50" w:right="110" w:rightChars="50"/>
              <w:rPr>
                <w:highlight w:val="none"/>
              </w:rPr>
            </w:pPr>
            <w:r>
              <w:rPr>
                <w:highlight w:val="none"/>
              </w:rPr>
              <w:t>商业服务</w:t>
            </w:r>
          </w:p>
        </w:tc>
        <w:tc>
          <w:tcPr>
            <w:tcW w:w="1836" w:type="dxa"/>
          </w:tcPr>
          <w:p>
            <w:pPr>
              <w:pStyle w:val="46"/>
              <w:ind w:left="110" w:leftChars="50" w:right="110" w:rightChars="50"/>
              <w:rPr>
                <w:highlight w:val="none"/>
              </w:rPr>
            </w:pPr>
            <w:r>
              <w:rPr>
                <w:highlight w:val="none"/>
              </w:rPr>
              <w:t>便民农家店</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lang w:eastAsia="zh-CN"/>
              </w:rPr>
            </w:pPr>
            <w:r>
              <w:rPr>
                <w:spacing w:val="-9"/>
                <w:highlight w:val="none"/>
                <w:lang w:eastAsia="zh-CN"/>
              </w:rPr>
              <w:t>各行政村设</w:t>
            </w:r>
            <w:r>
              <w:rPr>
                <w:highlight w:val="none"/>
                <w:lang w:eastAsia="zh-CN"/>
              </w:rPr>
              <w:t>1</w:t>
            </w:r>
            <w:r>
              <w:rPr>
                <w:spacing w:val="-4"/>
                <w:highlight w:val="none"/>
                <w:lang w:eastAsia="zh-CN"/>
              </w:rPr>
              <w:t>处，村域面积较大或集中</w:t>
            </w:r>
            <w:r>
              <w:rPr>
                <w:spacing w:val="-3"/>
                <w:highlight w:val="none"/>
                <w:lang w:eastAsia="zh-CN"/>
              </w:rPr>
              <w:t>居民点较分散情况下可多点设置</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金融电信服务点</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846" w:type="dxa"/>
          </w:tcPr>
          <w:p>
            <w:pPr>
              <w:pStyle w:val="46"/>
              <w:ind w:left="110" w:leftChars="50" w:right="110" w:rightChars="50"/>
              <w:rPr>
                <w:highlight w:val="none"/>
              </w:rPr>
            </w:pPr>
            <w:r>
              <w:rPr>
                <w:highlight w:val="none"/>
              </w:rPr>
              <w:t>健康管理</w:t>
            </w:r>
          </w:p>
        </w:tc>
        <w:tc>
          <w:tcPr>
            <w:tcW w:w="1836" w:type="dxa"/>
          </w:tcPr>
          <w:p>
            <w:pPr>
              <w:pStyle w:val="46"/>
              <w:ind w:left="110" w:leftChars="50" w:right="110" w:rightChars="50"/>
              <w:rPr>
                <w:highlight w:val="none"/>
              </w:rPr>
            </w:pPr>
            <w:r>
              <w:rPr>
                <w:highlight w:val="none"/>
              </w:rPr>
              <w:t>村卫生室</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lang w:eastAsia="zh-CN"/>
              </w:rPr>
            </w:pPr>
            <w:r>
              <w:rPr>
                <w:spacing w:val="-9"/>
                <w:highlight w:val="none"/>
                <w:lang w:eastAsia="zh-CN"/>
              </w:rPr>
              <w:t>各行政村设</w:t>
            </w:r>
            <w:r>
              <w:rPr>
                <w:highlight w:val="none"/>
                <w:lang w:eastAsia="zh-CN"/>
              </w:rPr>
              <w:t>1</w:t>
            </w:r>
            <w:r>
              <w:rPr>
                <w:spacing w:val="-4"/>
                <w:highlight w:val="none"/>
                <w:lang w:eastAsia="zh-CN"/>
              </w:rPr>
              <w:t>处，村域面积较大或集中</w:t>
            </w:r>
            <w:r>
              <w:rPr>
                <w:spacing w:val="-3"/>
                <w:highlight w:val="none"/>
                <w:lang w:eastAsia="zh-CN"/>
              </w:rPr>
              <w:t>居民点较分散情况下可多点设置</w:t>
            </w:r>
          </w:p>
        </w:tc>
        <w:tc>
          <w:tcPr>
            <w:tcW w:w="1268" w:type="dxa"/>
          </w:tcPr>
          <w:p>
            <w:pPr>
              <w:pStyle w:val="46"/>
              <w:ind w:left="110" w:leftChars="50" w:right="110" w:rightChars="50"/>
              <w:rPr>
                <w:highlight w:val="none"/>
              </w:rPr>
            </w:pPr>
            <w:r>
              <w:rPr>
                <w:highlight w:val="none"/>
              </w:rPr>
              <w:t>宜综合设置</w:t>
            </w:r>
          </w:p>
        </w:tc>
      </w:tr>
      <w:tr>
        <w:tblPrEx>
          <w:tblLayout w:type="fixed"/>
          <w:tblCellMar>
            <w:top w:w="0" w:type="dxa"/>
            <w:left w:w="0" w:type="dxa"/>
            <w:bottom w:w="0" w:type="dxa"/>
            <w:right w:w="0" w:type="dxa"/>
          </w:tblCellMar>
        </w:tblPrEx>
        <w:trPr>
          <w:trHeight w:val="525" w:hRule="atLeast"/>
        </w:trPr>
        <w:tc>
          <w:tcPr>
            <w:tcW w:w="846" w:type="dxa"/>
            <w:vMerge w:val="restart"/>
          </w:tcPr>
          <w:p>
            <w:pPr>
              <w:pStyle w:val="46"/>
              <w:ind w:left="110" w:leftChars="50" w:right="110" w:rightChars="50"/>
              <w:rPr>
                <w:highlight w:val="none"/>
              </w:rPr>
            </w:pPr>
          </w:p>
          <w:p>
            <w:pPr>
              <w:pStyle w:val="46"/>
              <w:ind w:left="110" w:leftChars="50" w:right="110" w:rightChars="50"/>
              <w:rPr>
                <w:highlight w:val="none"/>
              </w:rPr>
            </w:pPr>
          </w:p>
          <w:p>
            <w:pPr>
              <w:pStyle w:val="46"/>
              <w:ind w:left="110" w:leftChars="50" w:right="110" w:rightChars="50"/>
              <w:rPr>
                <w:highlight w:val="none"/>
              </w:rPr>
            </w:pPr>
          </w:p>
          <w:p>
            <w:pPr>
              <w:pStyle w:val="46"/>
              <w:ind w:left="110" w:leftChars="50" w:right="110" w:rightChars="50"/>
              <w:rPr>
                <w:highlight w:val="none"/>
              </w:rPr>
            </w:pPr>
            <w:r>
              <w:rPr>
                <w:highlight w:val="none"/>
              </w:rPr>
              <w:t>文化活动</w:t>
            </w:r>
          </w:p>
        </w:tc>
        <w:tc>
          <w:tcPr>
            <w:tcW w:w="1836" w:type="dxa"/>
          </w:tcPr>
          <w:p>
            <w:pPr>
              <w:pStyle w:val="46"/>
              <w:ind w:left="110" w:leftChars="50" w:right="110" w:rightChars="50"/>
              <w:rPr>
                <w:highlight w:val="none"/>
              </w:rPr>
            </w:pPr>
            <w:r>
              <w:rPr>
                <w:highlight w:val="none"/>
              </w:rPr>
              <w:t>文化活动室</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lang w:eastAsia="zh-CN"/>
              </w:rPr>
            </w:pPr>
            <w:r>
              <w:rPr>
                <w:spacing w:val="-9"/>
                <w:highlight w:val="none"/>
                <w:lang w:eastAsia="zh-CN"/>
              </w:rPr>
              <w:t>各行政村设</w:t>
            </w:r>
            <w:r>
              <w:rPr>
                <w:highlight w:val="none"/>
                <w:lang w:eastAsia="zh-CN"/>
              </w:rPr>
              <w:t>1</w:t>
            </w:r>
            <w:r>
              <w:rPr>
                <w:spacing w:val="-4"/>
                <w:highlight w:val="none"/>
                <w:lang w:eastAsia="zh-CN"/>
              </w:rPr>
              <w:t>处，村域面积较大或集中</w:t>
            </w:r>
            <w:r>
              <w:rPr>
                <w:spacing w:val="-3"/>
                <w:highlight w:val="none"/>
                <w:lang w:eastAsia="zh-CN"/>
              </w:rPr>
              <w:t>居民点较分散情况下可多点设置</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7"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农家书屋</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lang w:eastAsia="zh-CN"/>
              </w:rPr>
            </w:pPr>
            <w:r>
              <w:rPr>
                <w:spacing w:val="-9"/>
                <w:highlight w:val="none"/>
                <w:lang w:eastAsia="zh-CN"/>
              </w:rPr>
              <w:t>各行政村设</w:t>
            </w:r>
            <w:r>
              <w:rPr>
                <w:highlight w:val="none"/>
                <w:lang w:eastAsia="zh-CN"/>
              </w:rPr>
              <w:t>1</w:t>
            </w:r>
            <w:r>
              <w:rPr>
                <w:spacing w:val="-4"/>
                <w:highlight w:val="none"/>
                <w:lang w:eastAsia="zh-CN"/>
              </w:rPr>
              <w:t>处，村域面积较大或集中</w:t>
            </w:r>
            <w:r>
              <w:rPr>
                <w:spacing w:val="-3"/>
                <w:highlight w:val="none"/>
                <w:lang w:eastAsia="zh-CN"/>
              </w:rPr>
              <w:t>居民点较分散情况下可多点设置</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红白喜事厅</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宜综合设置</w:t>
            </w:r>
          </w:p>
        </w:tc>
      </w:tr>
      <w:tr>
        <w:tblPrEx>
          <w:tblLayout w:type="fixed"/>
          <w:tblCellMar>
            <w:top w:w="0" w:type="dxa"/>
            <w:left w:w="0" w:type="dxa"/>
            <w:bottom w:w="0" w:type="dxa"/>
            <w:right w:w="0" w:type="dxa"/>
          </w:tblCellMar>
        </w:tblPrEx>
        <w:trPr>
          <w:trHeight w:val="285"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特色民俗活动点</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戏台</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宜综合设置</w:t>
            </w:r>
          </w:p>
        </w:tc>
      </w:tr>
      <w:tr>
        <w:tblPrEx>
          <w:tblLayout w:type="fixed"/>
          <w:tblCellMar>
            <w:top w:w="0" w:type="dxa"/>
            <w:left w:w="0" w:type="dxa"/>
            <w:bottom w:w="0" w:type="dxa"/>
            <w:right w:w="0" w:type="dxa"/>
          </w:tblCellMar>
        </w:tblPrEx>
        <w:trPr>
          <w:trHeight w:val="525" w:hRule="atLeast"/>
        </w:trPr>
        <w:tc>
          <w:tcPr>
            <w:tcW w:w="846" w:type="dxa"/>
          </w:tcPr>
          <w:p>
            <w:pPr>
              <w:pStyle w:val="46"/>
              <w:ind w:left="110" w:leftChars="50" w:right="110" w:rightChars="50"/>
              <w:rPr>
                <w:highlight w:val="none"/>
              </w:rPr>
            </w:pPr>
            <w:r>
              <w:rPr>
                <w:highlight w:val="none"/>
              </w:rPr>
              <w:t>体育健身</w:t>
            </w:r>
          </w:p>
        </w:tc>
        <w:tc>
          <w:tcPr>
            <w:tcW w:w="1836" w:type="dxa"/>
          </w:tcPr>
          <w:p>
            <w:pPr>
              <w:pStyle w:val="46"/>
              <w:ind w:left="110" w:leftChars="50" w:right="110" w:rightChars="50"/>
              <w:rPr>
                <w:highlight w:val="none"/>
              </w:rPr>
            </w:pPr>
            <w:r>
              <w:rPr>
                <w:highlight w:val="none"/>
              </w:rPr>
              <w:t>健身广场</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846" w:type="dxa"/>
            <w:vMerge w:val="restart"/>
          </w:tcPr>
          <w:p>
            <w:pPr>
              <w:pStyle w:val="46"/>
              <w:ind w:left="110" w:leftChars="50" w:right="110" w:rightChars="50"/>
              <w:rPr>
                <w:highlight w:val="none"/>
              </w:rPr>
            </w:pPr>
            <w:r>
              <w:rPr>
                <w:highlight w:val="none"/>
              </w:rPr>
              <w:t>教育设施</w:t>
            </w:r>
          </w:p>
        </w:tc>
        <w:tc>
          <w:tcPr>
            <w:tcW w:w="1836" w:type="dxa"/>
          </w:tcPr>
          <w:p>
            <w:pPr>
              <w:pStyle w:val="46"/>
              <w:ind w:left="110" w:leftChars="50" w:right="110" w:rightChars="50"/>
              <w:rPr>
                <w:highlight w:val="none"/>
              </w:rPr>
            </w:pPr>
            <w:r>
              <w:rPr>
                <w:highlight w:val="none"/>
              </w:rPr>
              <w:t>村幼儿园</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应独立占地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乡村小规模学校</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应独立占地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846" w:type="dxa"/>
            <w:vMerge w:val="restart"/>
          </w:tcPr>
          <w:p>
            <w:pPr>
              <w:pStyle w:val="46"/>
              <w:ind w:left="110" w:leftChars="50" w:right="110" w:rightChars="50"/>
              <w:rPr>
                <w:highlight w:val="none"/>
              </w:rPr>
            </w:pPr>
          </w:p>
          <w:p>
            <w:pPr>
              <w:pStyle w:val="46"/>
              <w:ind w:left="110" w:leftChars="50" w:right="110" w:rightChars="50"/>
              <w:rPr>
                <w:highlight w:val="none"/>
              </w:rPr>
            </w:pPr>
            <w:r>
              <w:rPr>
                <w:highlight w:val="none"/>
              </w:rPr>
              <w:t>社会福利设施</w:t>
            </w:r>
          </w:p>
        </w:tc>
        <w:tc>
          <w:tcPr>
            <w:tcW w:w="1836" w:type="dxa"/>
          </w:tcPr>
          <w:p>
            <w:pPr>
              <w:pStyle w:val="46"/>
              <w:ind w:left="110" w:leftChars="50" w:right="110" w:rightChars="50"/>
              <w:rPr>
                <w:highlight w:val="none"/>
              </w:rPr>
            </w:pPr>
            <w:r>
              <w:rPr>
                <w:highlight w:val="none"/>
              </w:rPr>
              <w:t>老年活动室</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lang w:eastAsia="zh-CN"/>
              </w:rPr>
            </w:pPr>
            <w:r>
              <w:rPr>
                <w:spacing w:val="-9"/>
                <w:highlight w:val="none"/>
                <w:lang w:eastAsia="zh-CN"/>
              </w:rPr>
              <w:t>各行政村设</w:t>
            </w:r>
            <w:r>
              <w:rPr>
                <w:highlight w:val="none"/>
                <w:lang w:eastAsia="zh-CN"/>
              </w:rPr>
              <w:t>1</w:t>
            </w:r>
            <w:r>
              <w:rPr>
                <w:spacing w:val="-4"/>
                <w:highlight w:val="none"/>
                <w:lang w:eastAsia="zh-CN"/>
              </w:rPr>
              <w:t>处，村域面积较大或集中</w:t>
            </w:r>
            <w:r>
              <w:rPr>
                <w:spacing w:val="-3"/>
                <w:highlight w:val="none"/>
                <w:lang w:eastAsia="zh-CN"/>
              </w:rPr>
              <w:t>居民点较分散情况下可多点设置</w:t>
            </w:r>
          </w:p>
        </w:tc>
        <w:tc>
          <w:tcPr>
            <w:tcW w:w="1268"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村级幸福院</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应独立占地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846" w:type="dxa"/>
            <w:vMerge w:val="continue"/>
            <w:tcBorders>
              <w:top w:val="nil"/>
            </w:tcBorders>
          </w:tcPr>
          <w:p>
            <w:pPr>
              <w:ind w:left="110" w:leftChars="50" w:right="110" w:rightChars="50"/>
              <w:jc w:val="center"/>
              <w:rPr>
                <w:highlight w:val="none"/>
              </w:rPr>
            </w:pPr>
          </w:p>
        </w:tc>
        <w:tc>
          <w:tcPr>
            <w:tcW w:w="1836" w:type="dxa"/>
          </w:tcPr>
          <w:p>
            <w:pPr>
              <w:pStyle w:val="46"/>
              <w:ind w:left="110" w:leftChars="50" w:right="110" w:rightChars="50"/>
              <w:rPr>
                <w:highlight w:val="none"/>
              </w:rPr>
            </w:pPr>
            <w:r>
              <w:rPr>
                <w:highlight w:val="none"/>
              </w:rPr>
              <w:t>老年人日间照料中心</w:t>
            </w:r>
          </w:p>
        </w:tc>
        <w:tc>
          <w:tcPr>
            <w:tcW w:w="1059" w:type="dxa"/>
          </w:tcPr>
          <w:p>
            <w:pPr>
              <w:pStyle w:val="46"/>
              <w:ind w:left="110" w:leftChars="50" w:right="110" w:rightChars="50"/>
              <w:rPr>
                <w:highlight w:val="none"/>
              </w:rPr>
            </w:pPr>
            <w:r>
              <w:rPr>
                <w:highlight w:val="none"/>
              </w:rPr>
              <w:t>○</w:t>
            </w:r>
          </w:p>
        </w:tc>
        <w:tc>
          <w:tcPr>
            <w:tcW w:w="1050" w:type="dxa"/>
          </w:tcPr>
          <w:p>
            <w:pPr>
              <w:pStyle w:val="46"/>
              <w:ind w:left="110" w:leftChars="50" w:right="110" w:rightChars="50"/>
              <w:rPr>
                <w:highlight w:val="none"/>
              </w:rPr>
            </w:pPr>
            <w:r>
              <w:rPr>
                <w:highlight w:val="none"/>
              </w:rPr>
              <w:t>○</w:t>
            </w:r>
          </w:p>
        </w:tc>
        <w:tc>
          <w:tcPr>
            <w:tcW w:w="3674" w:type="dxa"/>
          </w:tcPr>
          <w:p>
            <w:pPr>
              <w:pStyle w:val="46"/>
              <w:ind w:left="110" w:leftChars="50" w:right="110" w:rightChars="50"/>
              <w:rPr>
                <w:highlight w:val="none"/>
              </w:rPr>
            </w:pPr>
            <w:r>
              <w:rPr>
                <w:highlight w:val="none"/>
              </w:rPr>
              <w:t>—</w:t>
            </w:r>
          </w:p>
        </w:tc>
        <w:tc>
          <w:tcPr>
            <w:tcW w:w="1268" w:type="dxa"/>
          </w:tcPr>
          <w:p>
            <w:pPr>
              <w:pStyle w:val="46"/>
              <w:ind w:left="110" w:leftChars="50" w:right="110" w:rightChars="50"/>
              <w:rPr>
                <w:highlight w:val="none"/>
              </w:rPr>
            </w:pPr>
            <w:r>
              <w:rPr>
                <w:highlight w:val="none"/>
              </w:rPr>
              <w:t>宜综合设置</w:t>
            </w:r>
          </w:p>
        </w:tc>
      </w:tr>
    </w:tbl>
    <w:p>
      <w:pPr>
        <w:spacing w:line="360" w:lineRule="auto"/>
        <w:ind w:left="110" w:leftChars="50" w:right="110" w:rightChars="50" w:firstLine="560" w:firstLineChars="200"/>
        <w:rPr>
          <w:sz w:val="28"/>
          <w:szCs w:val="28"/>
          <w:highlight w:val="none"/>
          <w:lang w:eastAsia="zh-CN"/>
        </w:rPr>
      </w:pPr>
      <w:r>
        <w:rPr>
          <w:sz w:val="28"/>
          <w:szCs w:val="28"/>
          <w:highlight w:val="none"/>
          <w:lang w:eastAsia="zh-CN"/>
        </w:rPr>
        <w:t>注：●表示应建，○表示可建。</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第二十</w:t>
      </w:r>
      <w:r>
        <w:rPr>
          <w:rFonts w:hint="eastAsia" w:ascii="微软雅黑" w:hAnsi="微软雅黑" w:eastAsia="微软雅黑"/>
          <w:b/>
          <w:highlight w:val="none"/>
          <w:lang w:val="en-US" w:eastAsia="zh-CN"/>
        </w:rPr>
        <w:t>三</w:t>
      </w:r>
      <w:r>
        <w:rPr>
          <w:rFonts w:hint="eastAsia" w:ascii="微软雅黑" w:hAnsi="微软雅黑" w:eastAsia="微软雅黑"/>
          <w:b/>
          <w:highlight w:val="none"/>
          <w:lang w:eastAsia="zh-CN"/>
        </w:rPr>
        <w:t xml:space="preserve">条 </w:t>
      </w:r>
      <w:r>
        <w:rPr>
          <w:rFonts w:hint="eastAsia"/>
          <w:highlight w:val="none"/>
          <w:lang w:eastAsia="zh-CN"/>
        </w:rPr>
        <w:t>乡村公共服务设施布局宜注重相邻村庄之间服务要素的错位配置和共享使用，鼓励有条件的村村之间、村镇（乡）之间、村区之间共享公共服务设施</w:t>
      </w:r>
      <w:r>
        <w:rPr>
          <w:spacing w:val="-4"/>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第二十</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 xml:space="preserve">条 </w:t>
      </w:r>
      <w:r>
        <w:rPr>
          <w:rFonts w:hint="eastAsia"/>
          <w:spacing w:val="-16"/>
          <w:highlight w:val="none"/>
          <w:lang w:eastAsia="zh-CN"/>
        </w:rPr>
        <w:t>充分利用现有空间，综合行政管理、治理服务、医疗卫生、文化体育等功能复合设置，选址宜布置在位置适中、内外联系方便的地段，方便村民使用</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第二十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 xml:space="preserve">条 </w:t>
      </w:r>
      <w:r>
        <w:rPr>
          <w:rFonts w:hint="eastAsia"/>
          <w:spacing w:val="-15"/>
          <w:highlight w:val="none"/>
          <w:lang w:eastAsia="zh-CN"/>
        </w:rPr>
        <w:t>鼓励和支持农村集体经济组织、村民委员会、村民小组和其他组织建设养老服务设施，因地制宜为农村老年人提供互助养老、日间照料、托养居住、配餐送餐等多样化养老服务</w:t>
      </w:r>
      <w:r>
        <w:rPr>
          <w:highlight w:val="none"/>
          <w:lang w:eastAsia="zh-CN"/>
        </w:rPr>
        <w:t>。</w:t>
      </w:r>
    </w:p>
    <w:p>
      <w:pPr>
        <w:pStyle w:val="12"/>
        <w:spacing w:line="360" w:lineRule="auto"/>
        <w:ind w:left="110" w:leftChars="50" w:right="110" w:rightChars="50" w:firstLine="560" w:firstLineChars="200"/>
        <w:rPr>
          <w:spacing w:val="-3"/>
          <w:highlight w:val="none"/>
          <w:lang w:eastAsia="zh-CN"/>
        </w:rPr>
        <w:sectPr>
          <w:pgSz w:w="11910" w:h="16840"/>
          <w:pgMar w:top="1480" w:right="680" w:bottom="880" w:left="980" w:header="850" w:footer="992" w:gutter="0"/>
          <w:cols w:space="720" w:num="1"/>
        </w:sect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二十六</w:t>
      </w:r>
      <w:r>
        <w:rPr>
          <w:rFonts w:hint="eastAsia" w:ascii="微软雅黑" w:hAnsi="微软雅黑" w:eastAsia="微软雅黑"/>
          <w:b/>
          <w:highlight w:val="none"/>
          <w:lang w:eastAsia="zh-CN"/>
        </w:rPr>
        <w:t xml:space="preserve">条 </w:t>
      </w:r>
      <w:r>
        <w:rPr>
          <w:rFonts w:hint="eastAsia"/>
          <w:spacing w:val="-15"/>
          <w:highlight w:val="none"/>
          <w:lang w:eastAsia="zh-CN"/>
        </w:rPr>
        <w:t>宜优化农村学前教育布局，大村独立办园，小村联合办园，在村级幼儿园难以覆盖的偏远山村，可设置公办幼儿园分园</w:t>
      </w:r>
      <w:r>
        <w:rPr>
          <w:spacing w:val="-3"/>
          <w:highlight w:val="none"/>
          <w:lang w:eastAsia="zh-CN"/>
        </w:rPr>
        <w:t>。</w:t>
      </w:r>
    </w:p>
    <w:p>
      <w:pPr>
        <w:pStyle w:val="5"/>
        <w:keepNext w:val="0"/>
        <w:keepLines w:val="0"/>
        <w:spacing w:before="0" w:after="0"/>
        <w:ind w:right="296"/>
        <w:jc w:val="center"/>
        <w:rPr>
          <w:highlight w:val="none"/>
          <w:lang w:eastAsia="zh-CN"/>
        </w:rPr>
      </w:pPr>
      <w:bookmarkStart w:id="20" w:name="_bookmark13"/>
      <w:bookmarkEnd w:id="20"/>
      <w:r>
        <w:rPr>
          <w:rFonts w:ascii="微软雅黑" w:hAnsi="微软雅黑" w:eastAsia="微软雅黑" w:cs="微软雅黑"/>
          <w:b/>
          <w:bCs/>
          <w:color w:val="auto"/>
          <w:sz w:val="30"/>
          <w:szCs w:val="30"/>
          <w:highlight w:val="none"/>
          <w:lang w:eastAsia="zh-CN"/>
        </w:rPr>
        <w:t>第四节 市政公用设施用地布局</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二十七</w:t>
      </w:r>
      <w:r>
        <w:rPr>
          <w:rFonts w:hint="eastAsia" w:ascii="微软雅黑" w:hAnsi="微软雅黑" w:eastAsia="微软雅黑"/>
          <w:b/>
          <w:highlight w:val="none"/>
          <w:lang w:eastAsia="zh-CN"/>
        </w:rPr>
        <w:t>条</w:t>
      </w:r>
      <w:r>
        <w:rPr>
          <w:rFonts w:hint="eastAsia"/>
          <w:highlight w:val="none"/>
          <w:lang w:eastAsia="zh-CN"/>
        </w:rPr>
        <w:t>综合考虑乡村自然条件、人口分布与需求以及现状市政公用设施的建设状况，按照村委所在自然村和非村委所在自然村两个层级合理配置市政公用设施，并根据服务功能进行布局，配置标准宜参照下表执行</w:t>
      </w:r>
      <w:r>
        <w:rPr>
          <w:spacing w:val="-3"/>
          <w:highlight w:val="none"/>
          <w:lang w:eastAsia="zh-CN"/>
        </w:rPr>
        <w:t>。</w:t>
      </w: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4-2  </w:t>
      </w:r>
      <w:r>
        <w:rPr>
          <w:rFonts w:hint="eastAsia"/>
          <w:sz w:val="28"/>
          <w:szCs w:val="28"/>
          <w:highlight w:val="none"/>
          <w:lang w:eastAsia="zh-CN"/>
        </w:rPr>
        <w:t>乡村市政公用设施配置表</w:t>
      </w:r>
    </w:p>
    <w:tbl>
      <w:tblPr>
        <w:tblStyle w:val="44"/>
        <w:tblW w:w="9738"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2"/>
        <w:gridCol w:w="3118"/>
        <w:gridCol w:w="1913"/>
        <w:gridCol w:w="1915"/>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5" w:hRule="atLeast"/>
        </w:trPr>
        <w:tc>
          <w:tcPr>
            <w:tcW w:w="1272" w:type="dxa"/>
            <w:vMerge w:val="restart"/>
          </w:tcPr>
          <w:p>
            <w:pPr>
              <w:pStyle w:val="46"/>
              <w:ind w:left="110" w:leftChars="50" w:right="110" w:rightChars="50"/>
              <w:rPr>
                <w:highlight w:val="none"/>
              </w:rPr>
            </w:pPr>
            <w:r>
              <w:rPr>
                <w:highlight w:val="none"/>
              </w:rPr>
              <w:t>分类</w:t>
            </w:r>
          </w:p>
        </w:tc>
        <w:tc>
          <w:tcPr>
            <w:tcW w:w="3118" w:type="dxa"/>
            <w:vMerge w:val="restart"/>
          </w:tcPr>
          <w:p>
            <w:pPr>
              <w:pStyle w:val="46"/>
              <w:ind w:left="110" w:leftChars="50" w:right="110" w:rightChars="50"/>
              <w:rPr>
                <w:highlight w:val="none"/>
              </w:rPr>
            </w:pPr>
            <w:r>
              <w:rPr>
                <w:highlight w:val="none"/>
              </w:rPr>
              <w:t>设施名称</w:t>
            </w:r>
          </w:p>
        </w:tc>
        <w:tc>
          <w:tcPr>
            <w:tcW w:w="3828" w:type="dxa"/>
            <w:gridSpan w:val="2"/>
          </w:tcPr>
          <w:p>
            <w:pPr>
              <w:pStyle w:val="46"/>
              <w:ind w:left="110" w:leftChars="50" w:right="110" w:rightChars="50"/>
              <w:rPr>
                <w:highlight w:val="none"/>
              </w:rPr>
            </w:pPr>
            <w:r>
              <w:rPr>
                <w:highlight w:val="none"/>
              </w:rPr>
              <w:t>圈层划分</w:t>
            </w:r>
          </w:p>
        </w:tc>
        <w:tc>
          <w:tcPr>
            <w:tcW w:w="1520" w:type="dxa"/>
            <w:vMerge w:val="restart"/>
          </w:tcPr>
          <w:p>
            <w:pPr>
              <w:pStyle w:val="46"/>
              <w:ind w:left="110" w:leftChars="50" w:right="110" w:rightChars="50"/>
              <w:rPr>
                <w:highlight w:val="none"/>
              </w:rPr>
            </w:pPr>
            <w:r>
              <w:rPr>
                <w:highlight w:val="none"/>
              </w:rPr>
              <w:t>配置指标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1272" w:type="dxa"/>
            <w:vMerge w:val="continue"/>
            <w:tcBorders>
              <w:top w:val="nil"/>
            </w:tcBorders>
          </w:tcPr>
          <w:p>
            <w:pPr>
              <w:pStyle w:val="46"/>
              <w:ind w:left="110" w:leftChars="50" w:right="110" w:rightChars="50"/>
              <w:rPr>
                <w:highlight w:val="none"/>
              </w:rPr>
            </w:pPr>
          </w:p>
        </w:tc>
        <w:tc>
          <w:tcPr>
            <w:tcW w:w="3118" w:type="dxa"/>
            <w:vMerge w:val="continue"/>
            <w:tcBorders>
              <w:top w:val="nil"/>
            </w:tcBorders>
          </w:tcPr>
          <w:p>
            <w:pPr>
              <w:pStyle w:val="46"/>
              <w:ind w:left="110" w:leftChars="50" w:right="110" w:rightChars="50"/>
              <w:rPr>
                <w:highlight w:val="none"/>
              </w:rPr>
            </w:pPr>
          </w:p>
        </w:tc>
        <w:tc>
          <w:tcPr>
            <w:tcW w:w="1913" w:type="dxa"/>
          </w:tcPr>
          <w:p>
            <w:pPr>
              <w:pStyle w:val="46"/>
              <w:ind w:left="110" w:leftChars="50" w:right="110" w:rightChars="50"/>
              <w:rPr>
                <w:highlight w:val="none"/>
              </w:rPr>
            </w:pPr>
            <w:r>
              <w:rPr>
                <w:highlight w:val="none"/>
              </w:rPr>
              <w:t>村委所在自然村</w:t>
            </w:r>
          </w:p>
        </w:tc>
        <w:tc>
          <w:tcPr>
            <w:tcW w:w="1915" w:type="dxa"/>
          </w:tcPr>
          <w:p>
            <w:pPr>
              <w:pStyle w:val="46"/>
              <w:ind w:left="110" w:leftChars="50" w:right="110" w:rightChars="50"/>
              <w:rPr>
                <w:highlight w:val="none"/>
              </w:rPr>
            </w:pPr>
            <w:r>
              <w:rPr>
                <w:highlight w:val="none"/>
              </w:rPr>
              <w:t>非村委所在自然村</w:t>
            </w:r>
          </w:p>
        </w:tc>
        <w:tc>
          <w:tcPr>
            <w:tcW w:w="1520" w:type="dxa"/>
            <w:vMerge w:val="continue"/>
            <w:tcBorders>
              <w:top w:val="nil"/>
            </w:tcBorders>
          </w:tcPr>
          <w:p>
            <w:pPr>
              <w:pStyle w:val="46"/>
              <w:ind w:left="110" w:leftChars="50" w:right="110" w:rightChars="50"/>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restart"/>
          </w:tcPr>
          <w:p>
            <w:pPr>
              <w:pStyle w:val="46"/>
              <w:ind w:left="110" w:leftChars="50" w:right="110" w:rightChars="50"/>
              <w:rPr>
                <w:highlight w:val="none"/>
              </w:rPr>
            </w:pPr>
          </w:p>
          <w:p>
            <w:pPr>
              <w:pStyle w:val="46"/>
              <w:ind w:left="110" w:leftChars="50" w:right="110" w:rightChars="50"/>
              <w:rPr>
                <w:highlight w:val="none"/>
              </w:rPr>
            </w:pPr>
          </w:p>
          <w:p>
            <w:pPr>
              <w:pStyle w:val="46"/>
              <w:ind w:left="110" w:leftChars="50" w:right="110" w:rightChars="50"/>
              <w:rPr>
                <w:highlight w:val="none"/>
              </w:rPr>
            </w:pPr>
          </w:p>
          <w:p>
            <w:pPr>
              <w:pStyle w:val="46"/>
              <w:ind w:left="110" w:leftChars="50" w:right="110" w:rightChars="50"/>
              <w:rPr>
                <w:highlight w:val="none"/>
              </w:rPr>
            </w:pPr>
          </w:p>
          <w:p>
            <w:pPr>
              <w:pStyle w:val="46"/>
              <w:ind w:left="110" w:leftChars="50" w:right="110" w:rightChars="50"/>
              <w:rPr>
                <w:highlight w:val="none"/>
              </w:rPr>
            </w:pPr>
          </w:p>
          <w:p>
            <w:pPr>
              <w:pStyle w:val="46"/>
              <w:ind w:left="110" w:leftChars="50" w:right="110" w:rightChars="50"/>
              <w:rPr>
                <w:highlight w:val="none"/>
              </w:rPr>
            </w:pPr>
            <w:r>
              <w:rPr>
                <w:highlight w:val="none"/>
              </w:rPr>
              <w:t>市政公用设施</w:t>
            </w:r>
          </w:p>
        </w:tc>
        <w:tc>
          <w:tcPr>
            <w:tcW w:w="3118" w:type="dxa"/>
          </w:tcPr>
          <w:p>
            <w:pPr>
              <w:pStyle w:val="46"/>
              <w:ind w:left="110" w:leftChars="50" w:right="110" w:rightChars="50"/>
              <w:rPr>
                <w:highlight w:val="none"/>
              </w:rPr>
            </w:pPr>
            <w:r>
              <w:rPr>
                <w:highlight w:val="none"/>
              </w:rPr>
              <w:t>给水设施</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Layout w:type="fixed"/>
          <w:tblCellMar>
            <w:top w:w="0" w:type="dxa"/>
            <w:left w:w="0" w:type="dxa"/>
            <w:bottom w:w="0" w:type="dxa"/>
            <w:right w:w="0" w:type="dxa"/>
          </w:tblCellMar>
        </w:tblPrEx>
        <w:trPr>
          <w:trHeight w:val="287"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污水处理设施</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供电设施</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电信设施</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垃圾收集点</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公共厕所</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宜综合设置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消防设施</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乡村综合能源站</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村级客运站点</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公交站点</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宜独立占地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8" w:hRule="atLeast"/>
        </w:trPr>
        <w:tc>
          <w:tcPr>
            <w:tcW w:w="1272" w:type="dxa"/>
            <w:vMerge w:val="continue"/>
            <w:tcBorders>
              <w:top w:val="nil"/>
            </w:tcBorders>
          </w:tcPr>
          <w:p>
            <w:pPr>
              <w:pStyle w:val="46"/>
              <w:ind w:left="110" w:leftChars="50" w:right="110" w:rightChars="50"/>
              <w:rPr>
                <w:highlight w:val="none"/>
              </w:rPr>
            </w:pPr>
          </w:p>
        </w:tc>
        <w:tc>
          <w:tcPr>
            <w:tcW w:w="3118" w:type="dxa"/>
          </w:tcPr>
          <w:p>
            <w:pPr>
              <w:pStyle w:val="46"/>
              <w:ind w:left="110" w:leftChars="50" w:right="110" w:rightChars="50"/>
              <w:rPr>
                <w:highlight w:val="none"/>
              </w:rPr>
            </w:pPr>
            <w:r>
              <w:rPr>
                <w:highlight w:val="none"/>
              </w:rPr>
              <w:t>物流配送点</w:t>
            </w:r>
          </w:p>
        </w:tc>
        <w:tc>
          <w:tcPr>
            <w:tcW w:w="1913" w:type="dxa"/>
          </w:tcPr>
          <w:p>
            <w:pPr>
              <w:pStyle w:val="46"/>
              <w:ind w:left="110" w:leftChars="50" w:right="110" w:rightChars="50"/>
              <w:rPr>
                <w:highlight w:val="none"/>
              </w:rPr>
            </w:pPr>
            <w:r>
              <w:rPr>
                <w:highlight w:val="none"/>
              </w:rPr>
              <w:t>○</w:t>
            </w:r>
          </w:p>
        </w:tc>
        <w:tc>
          <w:tcPr>
            <w:tcW w:w="1915" w:type="dxa"/>
          </w:tcPr>
          <w:p>
            <w:pPr>
              <w:pStyle w:val="46"/>
              <w:ind w:left="110" w:leftChars="50" w:right="110" w:rightChars="50"/>
              <w:rPr>
                <w:highlight w:val="none"/>
              </w:rPr>
            </w:pPr>
            <w:r>
              <w:rPr>
                <w:highlight w:val="none"/>
              </w:rPr>
              <w:t>○</w:t>
            </w:r>
          </w:p>
        </w:tc>
        <w:tc>
          <w:tcPr>
            <w:tcW w:w="1520" w:type="dxa"/>
          </w:tcPr>
          <w:p>
            <w:pPr>
              <w:pStyle w:val="46"/>
              <w:ind w:left="110" w:leftChars="50" w:right="110" w:rightChars="50"/>
              <w:rPr>
                <w:highlight w:val="none"/>
              </w:rPr>
            </w:pPr>
            <w:r>
              <w:rPr>
                <w:highlight w:val="none"/>
              </w:rPr>
              <w:t>宜综合设置</w:t>
            </w:r>
          </w:p>
        </w:tc>
      </w:tr>
    </w:tbl>
    <w:p>
      <w:pPr>
        <w:spacing w:line="360" w:lineRule="auto"/>
        <w:ind w:left="110" w:leftChars="50" w:right="110" w:rightChars="50" w:firstLine="560" w:firstLineChars="200"/>
        <w:rPr>
          <w:sz w:val="28"/>
          <w:szCs w:val="28"/>
          <w:highlight w:val="none"/>
          <w:lang w:eastAsia="zh-CN"/>
        </w:rPr>
      </w:pPr>
      <w:r>
        <w:rPr>
          <w:sz w:val="28"/>
          <w:szCs w:val="28"/>
          <w:highlight w:val="none"/>
          <w:lang w:eastAsia="zh-CN"/>
        </w:rPr>
        <w:t>注：●表示应建，○表示可建。</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二十八</w:t>
      </w:r>
      <w:r>
        <w:rPr>
          <w:rFonts w:hint="eastAsia" w:ascii="微软雅黑" w:hAnsi="微软雅黑" w:eastAsia="微软雅黑"/>
          <w:b/>
          <w:sz w:val="28"/>
          <w:szCs w:val="28"/>
          <w:highlight w:val="none"/>
          <w:lang w:eastAsia="zh-CN"/>
        </w:rPr>
        <w:t xml:space="preserve">条 </w:t>
      </w:r>
      <w:r>
        <w:rPr>
          <w:sz w:val="28"/>
          <w:szCs w:val="28"/>
          <w:highlight w:val="none"/>
          <w:lang w:eastAsia="zh-CN"/>
        </w:rPr>
        <w:t>给水设施布局通用要求如下：</w:t>
      </w:r>
    </w:p>
    <w:p>
      <w:pPr>
        <w:pStyle w:val="12"/>
        <w:spacing w:line="360" w:lineRule="auto"/>
        <w:ind w:left="110" w:leftChars="50" w:right="110" w:rightChars="50" w:firstLine="560" w:firstLineChars="200"/>
        <w:rPr>
          <w:highlight w:val="none"/>
          <w:lang w:eastAsia="zh-CN"/>
        </w:rPr>
      </w:pPr>
      <w:r>
        <w:rPr>
          <w:highlight w:val="none"/>
          <w:lang w:eastAsia="zh-CN"/>
        </w:rPr>
        <w:t>（一）</w:t>
      </w:r>
      <w:r>
        <w:rPr>
          <w:spacing w:val="-3"/>
          <w:highlight w:val="none"/>
          <w:lang w:eastAsia="zh-CN"/>
        </w:rPr>
        <w:t>水源应选择水量充沛、水质良好、便于卫生防护的位置。</w:t>
      </w:r>
    </w:p>
    <w:p>
      <w:pPr>
        <w:pStyle w:val="12"/>
        <w:spacing w:line="360" w:lineRule="auto"/>
        <w:ind w:left="110" w:leftChars="50" w:right="110" w:rightChars="50" w:firstLine="560" w:firstLineChars="200"/>
        <w:rPr>
          <w:spacing w:val="-3"/>
          <w:highlight w:val="none"/>
          <w:lang w:eastAsia="zh-CN"/>
        </w:rPr>
      </w:pPr>
      <w:r>
        <w:rPr>
          <w:highlight w:val="none"/>
          <w:lang w:eastAsia="zh-CN"/>
        </w:rPr>
        <w:t>（二</w:t>
      </w:r>
      <w:r>
        <w:rPr>
          <w:spacing w:val="-20"/>
          <w:highlight w:val="none"/>
          <w:lang w:eastAsia="zh-CN"/>
        </w:rPr>
        <w:t>）</w:t>
      </w:r>
      <w:r>
        <w:rPr>
          <w:rFonts w:hint="eastAsia"/>
          <w:spacing w:val="-6"/>
          <w:highlight w:val="none"/>
          <w:lang w:eastAsia="zh-CN"/>
        </w:rPr>
        <w:t>取水构筑物的位置应靠近主要供水区，靠近输电网，施工和运行管理方便；地下水取水构筑物的位置应按地下水流向，设在村镇的上游</w:t>
      </w:r>
      <w:r>
        <w:rPr>
          <w:spacing w:val="-3"/>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spacing w:val="-20"/>
          <w:highlight w:val="none"/>
          <w:lang w:eastAsia="zh-CN"/>
        </w:rPr>
        <w:t>）</w:t>
      </w:r>
      <w:r>
        <w:rPr>
          <w:rFonts w:hint="eastAsia"/>
          <w:spacing w:val="-6"/>
          <w:highlight w:val="none"/>
          <w:lang w:eastAsia="zh-CN"/>
        </w:rPr>
        <w:t>调蓄构筑物应选择在便于引水、取水和卫生防护的地段，有地形可利用时可设在高处；蓄水池容积应根据设计供水规模、水源保障情况、引蓄时间和次数确定</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（四</w:t>
      </w:r>
      <w:r>
        <w:rPr>
          <w:spacing w:val="-10"/>
          <w:highlight w:val="none"/>
          <w:lang w:eastAsia="zh-CN"/>
        </w:rPr>
        <w:t>）</w:t>
      </w:r>
      <w:r>
        <w:rPr>
          <w:rFonts w:hint="eastAsia"/>
          <w:spacing w:val="-9"/>
          <w:highlight w:val="none"/>
          <w:lang w:eastAsia="zh-CN"/>
        </w:rPr>
        <w:t>泵站应根据供水系统布局，以及地形、地质、防洪、电力、交通、施工和管理等条件分析确定。取水泵站应满足水厂的设计要求，供水泵站和加压泵站应同时满足用水户对水量和水压的要求，充分考虑供水运行时的节能降耗要求</w:t>
      </w:r>
      <w:r>
        <w:rPr>
          <w:spacing w:val="-10"/>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二十九</w:t>
      </w:r>
      <w:r>
        <w:rPr>
          <w:rFonts w:hint="eastAsia" w:ascii="微软雅黑" w:hAnsi="微软雅黑" w:eastAsia="微软雅黑"/>
          <w:b/>
          <w:sz w:val="28"/>
          <w:szCs w:val="28"/>
          <w:highlight w:val="none"/>
          <w:lang w:eastAsia="zh-CN"/>
        </w:rPr>
        <w:t xml:space="preserve">条 </w:t>
      </w:r>
      <w:r>
        <w:rPr>
          <w:sz w:val="28"/>
          <w:szCs w:val="28"/>
          <w:highlight w:val="none"/>
          <w:lang w:eastAsia="zh-CN"/>
        </w:rPr>
        <w:t>集中污水处理设施布局通用要求如下：</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选址必须满足饮用水水源保护区管控要求以及生态环境保护的要求，应在居住区的夏季主导风向的下风向、村庄水系下游</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（二）</w:t>
      </w:r>
      <w:r>
        <w:rPr>
          <w:rFonts w:hint="eastAsia"/>
          <w:highlight w:val="none"/>
          <w:lang w:eastAsia="zh-CN"/>
        </w:rPr>
        <w:t>宜选择地势相对较低，交通、运输及供水供电较方便地段</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不宜靠近村民住房、学校及医疗设施等</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（四）</w:t>
      </w:r>
      <w:r>
        <w:rPr>
          <w:rFonts w:hint="eastAsia"/>
          <w:highlight w:val="none"/>
          <w:lang w:eastAsia="zh-CN"/>
        </w:rPr>
        <w:t>不宜设置在低洼易涝区，应满足防洪有关要求</w:t>
      </w:r>
      <w:r>
        <w:rPr>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第三十条</w:t>
      </w:r>
      <w:r>
        <w:rPr>
          <w:rFonts w:hint="eastAsia" w:ascii="微软雅黑" w:hAnsi="微软雅黑" w:eastAsia="微软雅黑"/>
          <w:b/>
          <w:sz w:val="28"/>
          <w:szCs w:val="28"/>
          <w:highlight w:val="none"/>
          <w:lang w:val="en-US" w:eastAsia="zh-CN"/>
        </w:rPr>
        <w:t xml:space="preserve"> </w:t>
      </w:r>
      <w:r>
        <w:rPr>
          <w:sz w:val="28"/>
          <w:szCs w:val="28"/>
          <w:highlight w:val="none"/>
          <w:lang w:eastAsia="zh-CN"/>
        </w:rPr>
        <w:t>雨、污泵站设施布局通用要求如下：</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排水泵站宜选择在排水区地势低洼、能汇集排水区涝水且靠近承泄区的地点</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（二）</w:t>
      </w:r>
      <w:r>
        <w:rPr>
          <w:rFonts w:hint="eastAsia"/>
          <w:highlight w:val="none"/>
          <w:lang w:eastAsia="zh-CN"/>
        </w:rPr>
        <w:t>排水泵站出水口不应设在迎溜、崩岸或淤积严重的河段</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污水泵站应与周边住房、公共建筑保持必要的卫生防护距离，防护距离应根据卫生、环保、消防和安全等因素综合确定</w:t>
      </w:r>
      <w:r>
        <w:rPr>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第三十</w:t>
      </w:r>
      <w:r>
        <w:rPr>
          <w:rFonts w:hint="eastAsia" w:ascii="微软雅黑" w:hAnsi="微软雅黑" w:eastAsia="微软雅黑"/>
          <w:b/>
          <w:sz w:val="28"/>
          <w:szCs w:val="28"/>
          <w:highlight w:val="none"/>
          <w:lang w:val="en-US" w:eastAsia="zh-CN"/>
        </w:rPr>
        <w:t>一</w:t>
      </w:r>
      <w:r>
        <w:rPr>
          <w:rFonts w:hint="eastAsia" w:ascii="微软雅黑" w:hAnsi="微软雅黑" w:eastAsia="微软雅黑"/>
          <w:b/>
          <w:sz w:val="28"/>
          <w:szCs w:val="28"/>
          <w:highlight w:val="none"/>
          <w:lang w:eastAsia="zh-CN"/>
        </w:rPr>
        <w:t xml:space="preserve">条 </w:t>
      </w:r>
      <w:r>
        <w:rPr>
          <w:sz w:val="28"/>
          <w:szCs w:val="28"/>
          <w:highlight w:val="none"/>
          <w:lang w:eastAsia="zh-CN"/>
        </w:rPr>
        <w:t>供电设施布局通用要求如下：</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应接近负荷中心，且便于进、出线的布置、交通便利的地段</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（二）</w:t>
      </w:r>
      <w:r>
        <w:rPr>
          <w:rFonts w:hint="eastAsia"/>
          <w:highlight w:val="none"/>
          <w:lang w:eastAsia="zh-CN"/>
        </w:rPr>
        <w:t>利用自然地形可有效排水</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避开易燃、易爆及严重污染地区</w:t>
      </w:r>
      <w:r>
        <w:rPr>
          <w:spacing w:val="-3"/>
          <w:highlight w:val="none"/>
          <w:lang w:eastAsia="zh-CN"/>
        </w:rPr>
        <w:t>。</w:t>
      </w:r>
    </w:p>
    <w:p>
      <w:pPr>
        <w:pStyle w:val="12"/>
        <w:spacing w:line="360" w:lineRule="auto"/>
        <w:ind w:left="110" w:leftChars="50" w:right="110" w:rightChars="50" w:firstLine="556" w:firstLineChars="200"/>
        <w:rPr>
          <w:highlight w:val="none"/>
          <w:lang w:eastAsia="zh-CN"/>
        </w:rPr>
      </w:pPr>
      <w:r>
        <w:rPr>
          <w:spacing w:val="-1"/>
          <w:highlight w:val="none"/>
          <w:lang w:eastAsia="zh-CN"/>
        </w:rPr>
        <w:t>（</w:t>
      </w:r>
      <w:r>
        <w:rPr>
          <w:highlight w:val="none"/>
          <w:lang w:eastAsia="zh-CN"/>
        </w:rPr>
        <w:t>四）</w:t>
      </w:r>
      <w:r>
        <w:rPr>
          <w:rFonts w:hint="eastAsia"/>
          <w:highlight w:val="none"/>
          <w:lang w:eastAsia="zh-CN"/>
        </w:rPr>
        <w:t>注意对公用通信设施的干扰问题</w:t>
      </w:r>
      <w:r>
        <w:rPr>
          <w:spacing w:val="-3"/>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第三十</w:t>
      </w:r>
      <w:r>
        <w:rPr>
          <w:rFonts w:hint="eastAsia" w:ascii="微软雅黑" w:hAnsi="微软雅黑" w:eastAsia="微软雅黑"/>
          <w:b/>
          <w:sz w:val="28"/>
          <w:szCs w:val="28"/>
          <w:highlight w:val="none"/>
          <w:lang w:val="en-US" w:eastAsia="zh-CN"/>
        </w:rPr>
        <w:t>二</w:t>
      </w:r>
      <w:r>
        <w:rPr>
          <w:rFonts w:hint="eastAsia" w:ascii="微软雅黑" w:hAnsi="微软雅黑" w:eastAsia="微软雅黑"/>
          <w:b/>
          <w:sz w:val="28"/>
          <w:szCs w:val="28"/>
          <w:highlight w:val="none"/>
          <w:lang w:eastAsia="zh-CN"/>
        </w:rPr>
        <w:t xml:space="preserve">条 </w:t>
      </w:r>
      <w:r>
        <w:rPr>
          <w:sz w:val="28"/>
          <w:szCs w:val="28"/>
          <w:highlight w:val="none"/>
          <w:lang w:eastAsia="zh-CN"/>
        </w:rPr>
        <w:t>环卫设施布局通用要求如下：</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农村生活垃圾分类、收集、运输和处理设施的数量、规模、布局和选址应通过对经济、社会和环境影响等综合分析确定</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（二）</w:t>
      </w:r>
      <w:r>
        <w:rPr>
          <w:rFonts w:hint="eastAsia"/>
          <w:highlight w:val="none"/>
          <w:lang w:eastAsia="zh-CN"/>
        </w:rPr>
        <w:t>垃圾收集点的选址应方便投放、收集、利于机械化收运作业、不干扰居民正常生活、不影响村容观瞻等要求</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垃圾转运站与相邻建筑间距应不小于8米，粪便处理设施与居民点、公共设施等的间距不应小于50米，建筑垃圾处置设施距居民点及人畜供水点不应小于500米</w:t>
      </w:r>
      <w:r>
        <w:rPr>
          <w:highlight w:val="none"/>
          <w:lang w:eastAsia="zh-CN"/>
        </w:rPr>
        <w:t>。</w:t>
      </w:r>
    </w:p>
    <w:p>
      <w:pPr>
        <w:pStyle w:val="12"/>
        <w:spacing w:line="360" w:lineRule="auto"/>
        <w:ind w:left="110" w:leftChars="50" w:right="110" w:rightChars="50" w:firstLine="560" w:firstLineChars="200"/>
        <w:jc w:val="both"/>
        <w:rPr>
          <w:highlight w:val="none"/>
          <w:lang w:eastAsia="zh-CN"/>
        </w:rPr>
      </w:pPr>
      <w:r>
        <w:rPr>
          <w:highlight w:val="none"/>
          <w:lang w:eastAsia="zh-CN"/>
        </w:rPr>
        <w:t>（四</w:t>
      </w:r>
      <w:r>
        <w:rPr>
          <w:spacing w:val="-29"/>
          <w:highlight w:val="none"/>
          <w:lang w:eastAsia="zh-CN"/>
        </w:rPr>
        <w:t>）</w:t>
      </w:r>
      <w:r>
        <w:rPr>
          <w:rFonts w:hint="eastAsia"/>
          <w:spacing w:val="-5"/>
          <w:highlight w:val="none"/>
          <w:lang w:eastAsia="zh-CN"/>
        </w:rPr>
        <w:t>填埋场的布局应符合相关规划，用地选址具备基本的工程地质和水文地质条件，不受洪水、潮水、内涝的威胁；交通方便、运距合理，远离人口密集居住区，与居住区防护距离应不小于500米，与河流、湖泊距离应不小于50米</w:t>
      </w:r>
      <w:r>
        <w:rPr>
          <w:spacing w:val="-3"/>
          <w:highlight w:val="none"/>
          <w:lang w:eastAsia="zh-CN"/>
        </w:rPr>
        <w:t>。</w:t>
      </w:r>
    </w:p>
    <w:p>
      <w:pPr>
        <w:spacing w:line="360" w:lineRule="auto"/>
        <w:ind w:left="110" w:leftChars="50" w:right="110" w:rightChars="50" w:firstLine="560" w:firstLineChars="200"/>
        <w:jc w:val="both"/>
        <w:rPr>
          <w:sz w:val="28"/>
          <w:szCs w:val="28"/>
          <w:highlight w:val="none"/>
          <w:lang w:eastAsia="zh-CN"/>
        </w:rPr>
      </w:pPr>
      <w:r>
        <w:rPr>
          <w:rFonts w:hint="eastAsia" w:ascii="微软雅黑" w:hAnsi="微软雅黑" w:eastAsia="微软雅黑"/>
          <w:b/>
          <w:sz w:val="28"/>
          <w:szCs w:val="28"/>
          <w:highlight w:val="none"/>
          <w:lang w:eastAsia="zh-CN"/>
        </w:rPr>
        <w:t>第三十</w:t>
      </w:r>
      <w:r>
        <w:rPr>
          <w:rFonts w:hint="eastAsia" w:ascii="微软雅黑" w:hAnsi="微软雅黑" w:eastAsia="微软雅黑"/>
          <w:b/>
          <w:sz w:val="28"/>
          <w:szCs w:val="28"/>
          <w:highlight w:val="none"/>
          <w:lang w:val="en-US" w:eastAsia="zh-CN"/>
        </w:rPr>
        <w:t>三</w:t>
      </w:r>
      <w:r>
        <w:rPr>
          <w:rFonts w:hint="eastAsia" w:ascii="微软雅黑" w:hAnsi="微软雅黑" w:eastAsia="微软雅黑"/>
          <w:b/>
          <w:sz w:val="28"/>
          <w:szCs w:val="28"/>
          <w:highlight w:val="none"/>
          <w:lang w:eastAsia="zh-CN"/>
        </w:rPr>
        <w:t xml:space="preserve">条 </w:t>
      </w:r>
      <w:r>
        <w:rPr>
          <w:sz w:val="28"/>
          <w:szCs w:val="28"/>
          <w:highlight w:val="none"/>
          <w:lang w:eastAsia="zh-CN"/>
        </w:rPr>
        <w:t>公共厕所布局通用要求如下：</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（一）乡村独立式公共厕所可优先考虑建在村庄入口、活动广场、停车场、集贸市场、乡村旅游区（农家乐）等人口集中区域。</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（二）与集中式给水点和地下取水构筑物等的距离应大于30米。</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（三）宜建在所服务区域的常年主导风向的下风向处。</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第三十</w:t>
      </w:r>
      <w:r>
        <w:rPr>
          <w:rFonts w:hint="eastAsia" w:ascii="微软雅黑" w:hAnsi="微软雅黑" w:eastAsia="微软雅黑"/>
          <w:b/>
          <w:sz w:val="28"/>
          <w:szCs w:val="28"/>
          <w:highlight w:val="none"/>
          <w:lang w:val="en-US" w:eastAsia="zh-CN"/>
        </w:rPr>
        <w:t>四</w:t>
      </w:r>
      <w:r>
        <w:rPr>
          <w:rFonts w:hint="eastAsia" w:ascii="微软雅黑" w:hAnsi="微软雅黑" w:eastAsia="微软雅黑"/>
          <w:b/>
          <w:sz w:val="28"/>
          <w:szCs w:val="28"/>
          <w:highlight w:val="none"/>
          <w:lang w:eastAsia="zh-CN"/>
        </w:rPr>
        <w:t xml:space="preserve">条 </w:t>
      </w:r>
      <w:r>
        <w:rPr>
          <w:sz w:val="28"/>
          <w:szCs w:val="28"/>
          <w:highlight w:val="none"/>
          <w:lang w:eastAsia="zh-CN"/>
        </w:rPr>
        <w:t>消防设施布局通用要求如下：</w:t>
      </w:r>
    </w:p>
    <w:p>
      <w:pPr>
        <w:pStyle w:val="12"/>
        <w:spacing w:line="360" w:lineRule="auto"/>
        <w:ind w:left="110" w:leftChars="50" w:right="110" w:rightChars="50" w:firstLine="560" w:firstLineChars="200"/>
        <w:jc w:val="both"/>
        <w:rPr>
          <w:highlight w:val="none"/>
          <w:lang w:eastAsia="zh-CN"/>
        </w:rPr>
      </w:pPr>
      <w:r>
        <w:rPr>
          <w:rFonts w:hint="eastAsia"/>
          <w:highlight w:val="none"/>
          <w:lang w:eastAsia="zh-CN"/>
        </w:rPr>
        <w:t>（一）消防水池应设置在便于消防车取水且不易被污染的地段，宜靠近主要道路或消防车道。</w:t>
      </w:r>
    </w:p>
    <w:p>
      <w:pPr>
        <w:pStyle w:val="12"/>
        <w:spacing w:line="360" w:lineRule="auto"/>
        <w:ind w:left="110" w:leftChars="50" w:right="110" w:rightChars="50" w:firstLine="560" w:firstLineChars="200"/>
        <w:jc w:val="both"/>
        <w:rPr>
          <w:highlight w:val="none"/>
          <w:lang w:eastAsia="zh-CN"/>
        </w:rPr>
      </w:pPr>
      <w:r>
        <w:rPr>
          <w:rFonts w:hint="eastAsia"/>
          <w:highlight w:val="none"/>
          <w:lang w:eastAsia="zh-CN"/>
        </w:rPr>
        <w:t>（二）消防器材室应设置在便于取用且安全的位置，一般宜靠近村庄中心或主要公共建筑。</w:t>
      </w:r>
    </w:p>
    <w:p>
      <w:pPr>
        <w:pStyle w:val="12"/>
        <w:spacing w:line="360" w:lineRule="auto"/>
        <w:ind w:left="110" w:leftChars="50" w:right="110" w:rightChars="50" w:firstLine="560" w:firstLineChars="200"/>
        <w:jc w:val="both"/>
        <w:rPr>
          <w:highlight w:val="none"/>
          <w:lang w:eastAsia="zh-CN"/>
        </w:rPr>
      </w:pPr>
      <w:r>
        <w:rPr>
          <w:rFonts w:hint="eastAsia"/>
          <w:highlight w:val="none"/>
          <w:lang w:eastAsia="zh-CN"/>
        </w:rPr>
        <w:t>（三）根据村庄规模和实际需要，设置消火栓、消防泵房等消防设施。</w:t>
      </w:r>
    </w:p>
    <w:p>
      <w:pPr>
        <w:pStyle w:val="12"/>
        <w:spacing w:line="360" w:lineRule="auto"/>
        <w:ind w:left="110" w:leftChars="50" w:right="110" w:rightChars="50" w:firstLine="560" w:firstLineChars="200"/>
        <w:jc w:val="both"/>
        <w:rPr>
          <w:rFonts w:hint="eastAsia"/>
          <w:highlight w:val="none"/>
          <w:lang w:eastAsia="zh-CN"/>
        </w:rPr>
      </w:pPr>
      <w:r>
        <w:rPr>
          <w:rFonts w:hint="eastAsia"/>
          <w:highlight w:val="none"/>
          <w:lang w:eastAsia="zh-CN"/>
        </w:rPr>
        <w:t>（四）确保消防通道畅通无阻，便于消防车通行和作业。</w:t>
      </w:r>
    </w:p>
    <w:p>
      <w:pPr>
        <w:pStyle w:val="12"/>
        <w:spacing w:line="360" w:lineRule="auto"/>
        <w:ind w:left="110" w:leftChars="50" w:right="110" w:rightChars="50" w:firstLine="560" w:firstLineChars="200"/>
        <w:jc w:val="both"/>
        <w:rPr>
          <w:rFonts w:hint="eastAsia"/>
          <w:highlight w:val="none"/>
          <w:lang w:eastAsia="zh-CN"/>
        </w:rPr>
      </w:pPr>
      <w:r>
        <w:rPr>
          <w:rFonts w:hint="eastAsia"/>
          <w:highlight w:val="none"/>
          <w:lang w:val="en-US" w:eastAsia="zh-CN"/>
        </w:rPr>
        <w:t>(五)基于</w:t>
      </w:r>
      <w:r>
        <w:rPr>
          <w:rFonts w:hint="default"/>
          <w:highlight w:val="none"/>
          <w:lang w:eastAsia="zh-CN"/>
        </w:rPr>
        <w:t>县级以上地方人民政府划定</w:t>
      </w:r>
      <w:r>
        <w:rPr>
          <w:rFonts w:hint="eastAsia"/>
          <w:highlight w:val="none"/>
          <w:lang w:eastAsia="zh-CN"/>
        </w:rPr>
        <w:t>的</w:t>
      </w:r>
      <w:r>
        <w:rPr>
          <w:rFonts w:hint="default"/>
          <w:highlight w:val="none"/>
          <w:lang w:eastAsia="zh-CN"/>
        </w:rPr>
        <w:t>森林防火区</w:t>
      </w:r>
      <w:r>
        <w:rPr>
          <w:rFonts w:hint="eastAsia"/>
          <w:highlight w:val="none"/>
          <w:lang w:val="en-US" w:eastAsia="zh-CN"/>
        </w:rPr>
        <w:t>及</w:t>
      </w:r>
      <w:r>
        <w:rPr>
          <w:rFonts w:hint="default"/>
          <w:highlight w:val="none"/>
          <w:lang w:eastAsia="zh-CN"/>
        </w:rPr>
        <w:t>森林防火期，各级人民政府森林防火指挥机构和森林、林木、林地的经营单位和个人，应当根据森林火险预报，采取相应的预防和应急准备措施</w:t>
      </w:r>
      <w:r>
        <w:rPr>
          <w:rFonts w:hint="eastAsia"/>
          <w:highlight w:val="none"/>
          <w:lang w:eastAsia="zh-CN"/>
        </w:rPr>
        <w:t>，</w:t>
      </w:r>
      <w:r>
        <w:rPr>
          <w:rFonts w:hint="default"/>
          <w:highlight w:val="none"/>
          <w:lang w:eastAsia="zh-CN"/>
        </w:rPr>
        <w:t>严格遵守森林防火规定。</w:t>
      </w:r>
      <w:r>
        <w:rPr>
          <w:rFonts w:hint="eastAsia"/>
          <w:highlight w:val="none"/>
          <w:lang w:val="en-US" w:eastAsia="zh-CN"/>
        </w:rPr>
        <w:t>其他</w:t>
      </w:r>
      <w:r>
        <w:rPr>
          <w:rFonts w:hint="eastAsia"/>
          <w:highlight w:val="none"/>
          <w:lang w:val="en-US" w:eastAsia="zh-CN"/>
        </w:rPr>
        <w:t>相关</w:t>
      </w:r>
      <w:r>
        <w:rPr>
          <w:rFonts w:hint="eastAsia"/>
          <w:highlight w:val="none"/>
          <w:lang w:eastAsia="zh-CN"/>
        </w:rPr>
        <w:t>管控规则应</w:t>
      </w:r>
      <w:r>
        <w:rPr>
          <w:rFonts w:hint="eastAsia"/>
          <w:highlight w:val="none"/>
          <w:lang w:val="en-US" w:eastAsia="zh-CN"/>
        </w:rPr>
        <w:t>按</w:t>
      </w:r>
      <w:r>
        <w:rPr>
          <w:rFonts w:hint="eastAsia"/>
          <w:highlight w:val="none"/>
          <w:lang w:eastAsia="zh-CN"/>
        </w:rPr>
        <w:t>国家及广西壮族自治区规定执行。</w:t>
      </w:r>
    </w:p>
    <w:p>
      <w:pPr>
        <w:pStyle w:val="12"/>
        <w:spacing w:line="360" w:lineRule="auto"/>
        <w:ind w:left="110" w:leftChars="50" w:right="110" w:rightChars="50" w:firstLine="560" w:firstLineChars="200"/>
        <w:jc w:val="both"/>
        <w:rPr>
          <w:rFonts w:hint="eastAsia"/>
          <w:highlight w:val="none"/>
          <w:lang w:eastAsia="zh-CN"/>
        </w:rPr>
      </w:pPr>
      <w:r>
        <w:rPr>
          <w:rFonts w:hint="eastAsia"/>
          <w:highlight w:val="none"/>
          <w:lang w:eastAsia="zh-CN"/>
        </w:rPr>
        <w:t>（</w:t>
      </w:r>
      <w:r>
        <w:rPr>
          <w:rFonts w:hint="eastAsia"/>
          <w:highlight w:val="none"/>
          <w:lang w:val="en-US" w:eastAsia="zh-CN"/>
        </w:rPr>
        <w:t>六</w:t>
      </w:r>
      <w:r>
        <w:rPr>
          <w:rFonts w:hint="eastAsia"/>
          <w:highlight w:val="none"/>
          <w:lang w:eastAsia="zh-CN"/>
        </w:rPr>
        <w:t>）</w:t>
      </w:r>
      <w:r>
        <w:rPr>
          <w:rFonts w:hint="default"/>
          <w:highlight w:val="none"/>
          <w:lang w:eastAsia="zh-CN"/>
        </w:rPr>
        <w:t>县级人民政府应当组织乡（镇）人民政府根据森林火灾应急预案制定森林火灾应急处置办法；村民委员会应当按照森林火灾应急预案和森林火灾应急处置办法的规定，协助做好森林火灾应急处置工作</w:t>
      </w:r>
      <w:r>
        <w:rPr>
          <w:rFonts w:hint="eastAsia"/>
          <w:highlight w:val="none"/>
          <w:lang w:eastAsia="zh-CN"/>
        </w:rPr>
        <w:t>。</w:t>
      </w:r>
    </w:p>
    <w:p>
      <w:pPr>
        <w:pStyle w:val="12"/>
        <w:spacing w:line="360" w:lineRule="auto"/>
        <w:ind w:left="110" w:leftChars="50" w:right="110" w:rightChars="50" w:firstLine="560" w:firstLineChars="200"/>
        <w:jc w:val="both"/>
        <w:rPr>
          <w:rFonts w:hint="eastAsia"/>
          <w:highlight w:val="none"/>
          <w:lang w:eastAsia="zh-CN"/>
        </w:rPr>
      </w:pPr>
    </w:p>
    <w:p>
      <w:pPr>
        <w:pStyle w:val="12"/>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21" w:name="_bookmark14"/>
      <w:bookmarkEnd w:id="21"/>
      <w:r>
        <w:rPr>
          <w:rFonts w:ascii="微软雅黑" w:hAnsi="微软雅黑" w:eastAsia="微软雅黑" w:cs="微软雅黑"/>
          <w:b/>
          <w:bCs/>
          <w:color w:val="auto"/>
          <w:sz w:val="30"/>
          <w:szCs w:val="30"/>
          <w:highlight w:val="none"/>
          <w:lang w:eastAsia="zh-CN"/>
        </w:rPr>
        <w:t>第五节 乡村产业用地布局</w:t>
      </w:r>
    </w:p>
    <w:p>
      <w:pPr>
        <w:pStyle w:val="12"/>
        <w:spacing w:line="360" w:lineRule="auto"/>
        <w:ind w:left="550" w:leftChars="250" w:right="110" w:rightChars="50"/>
        <w:rPr>
          <w:highlight w:val="none"/>
          <w:lang w:eastAsia="zh-CN"/>
        </w:rPr>
      </w:pPr>
      <w:r>
        <w:rPr>
          <w:rFonts w:hint="eastAsia" w:ascii="微软雅黑" w:hAnsi="微软雅黑" w:eastAsia="微软雅黑"/>
          <w:b/>
          <w:highlight w:val="none"/>
          <w:lang w:eastAsia="zh-CN"/>
        </w:rPr>
        <w:t>第三十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 xml:space="preserve">条 </w:t>
      </w:r>
      <w:r>
        <w:rPr>
          <w:rFonts w:hint="eastAsia"/>
          <w:highlight w:val="none"/>
          <w:lang w:eastAsia="zh-CN"/>
        </w:rPr>
        <w:t>乡村产业负面清单：</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（一）危险化学品及其相关产物的生产、制造；</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（二）商品住宅、别墅、酒店、公寓等房地产开发项目；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（三）污染类项目（含高污染、高耗能、破坏生态环境的项目）；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（四）占用永久基本农田、生态保护红线、突破《柳州市国土空间总体规划》及其他专项规划约束条件的项目；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（五）单个项目用地规模超过30亩、工业化程度高、分散布局配套设施成本高的产业项目；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（六）具有一定规模的农产品加工宜在县城或有条件的乡镇城镇开发边界内集中布局的项目；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（七）（产业项目准入负面清单详见附表四</w:t>
      </w:r>
      <w:r>
        <w:rPr>
          <w:highlight w:val="none"/>
          <w:lang w:eastAsia="zh-CN"/>
        </w:rPr>
        <w:t>）</w:t>
      </w:r>
    </w:p>
    <w:p>
      <w:pPr>
        <w:pStyle w:val="12"/>
        <w:spacing w:line="360" w:lineRule="auto"/>
        <w:ind w:left="110" w:leftChars="50" w:right="110" w:rightChars="50" w:firstLine="560" w:firstLineChars="200"/>
        <w:rPr>
          <w:spacing w:val="-1"/>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三十六</w:t>
      </w:r>
      <w:r>
        <w:rPr>
          <w:rFonts w:hint="eastAsia" w:ascii="微软雅黑" w:hAnsi="微软雅黑" w:eastAsia="微软雅黑"/>
          <w:b/>
          <w:highlight w:val="none"/>
          <w:lang w:eastAsia="zh-CN"/>
        </w:rPr>
        <w:t xml:space="preserve">条 </w:t>
      </w:r>
      <w:r>
        <w:rPr>
          <w:rFonts w:hint="eastAsia"/>
          <w:spacing w:val="-13"/>
          <w:highlight w:val="none"/>
          <w:lang w:eastAsia="zh-CN"/>
        </w:rPr>
        <w:t>除少量必需的农产品生产加工外，原则上不在农村地区新增安排工业用地。乡村产业准入清单：</w:t>
      </w:r>
    </w:p>
    <w:p>
      <w:pPr>
        <w:pStyle w:val="12"/>
        <w:spacing w:line="360" w:lineRule="auto"/>
        <w:ind w:left="110" w:leftChars="50" w:right="110" w:rightChars="50" w:firstLine="508" w:firstLineChars="200"/>
        <w:rPr>
          <w:spacing w:val="-13"/>
          <w:highlight w:val="none"/>
          <w:lang w:eastAsia="zh-CN"/>
        </w:rPr>
      </w:pPr>
      <w:r>
        <w:rPr>
          <w:rFonts w:hint="eastAsia"/>
          <w:spacing w:val="-13"/>
          <w:highlight w:val="none"/>
          <w:lang w:eastAsia="zh-CN"/>
        </w:rPr>
        <w:t>（一）直接服务乡村振兴和农村生产生活的项目，包括：</w:t>
      </w:r>
    </w:p>
    <w:p>
      <w:pPr>
        <w:pStyle w:val="12"/>
        <w:spacing w:line="360" w:lineRule="auto"/>
        <w:ind w:left="110" w:leftChars="50" w:right="110" w:rightChars="50" w:firstLine="508" w:firstLineChars="200"/>
        <w:rPr>
          <w:spacing w:val="-13"/>
          <w:highlight w:val="none"/>
          <w:lang w:eastAsia="zh-CN"/>
        </w:rPr>
      </w:pPr>
      <w:r>
        <w:rPr>
          <w:rFonts w:hint="eastAsia"/>
          <w:spacing w:val="-13"/>
          <w:highlight w:val="none"/>
          <w:lang w:eastAsia="zh-CN"/>
        </w:rPr>
        <w:t>（1）农产品初加工、仓储保鲜冷链、产地低温直销配送；</w:t>
      </w:r>
    </w:p>
    <w:p>
      <w:pPr>
        <w:pStyle w:val="12"/>
        <w:spacing w:line="360" w:lineRule="auto"/>
        <w:ind w:left="110" w:leftChars="50" w:right="110" w:rightChars="50" w:firstLine="508" w:firstLineChars="200"/>
        <w:rPr>
          <w:spacing w:val="-13"/>
          <w:highlight w:val="none"/>
          <w:lang w:eastAsia="zh-CN"/>
        </w:rPr>
      </w:pPr>
      <w:r>
        <w:rPr>
          <w:rFonts w:hint="eastAsia"/>
          <w:spacing w:val="-13"/>
          <w:highlight w:val="none"/>
          <w:lang w:eastAsia="zh-CN"/>
        </w:rPr>
        <w:t>（2）农村电子商务、休闲观光旅游配套设施（需符合生态环保要求）；</w:t>
      </w:r>
    </w:p>
    <w:p>
      <w:pPr>
        <w:pStyle w:val="12"/>
        <w:spacing w:line="360" w:lineRule="auto"/>
        <w:ind w:left="110" w:leftChars="50" w:right="110" w:rightChars="50" w:firstLine="508" w:firstLineChars="200"/>
        <w:rPr>
          <w:spacing w:val="-13"/>
          <w:highlight w:val="none"/>
          <w:lang w:eastAsia="zh-CN"/>
        </w:rPr>
      </w:pPr>
      <w:r>
        <w:rPr>
          <w:rFonts w:hint="eastAsia"/>
          <w:spacing w:val="-13"/>
          <w:highlight w:val="none"/>
          <w:lang w:eastAsia="zh-CN"/>
        </w:rPr>
        <w:t>（3）种植养殖业直接服务设施。</w:t>
      </w:r>
    </w:p>
    <w:p>
      <w:pPr>
        <w:pStyle w:val="12"/>
        <w:spacing w:line="360" w:lineRule="auto"/>
        <w:ind w:left="110" w:leftChars="50" w:right="110" w:rightChars="50" w:firstLine="508" w:firstLineChars="200"/>
        <w:rPr>
          <w:spacing w:val="-13"/>
          <w:highlight w:val="none"/>
          <w:lang w:eastAsia="zh-CN"/>
        </w:rPr>
      </w:pPr>
      <w:r>
        <w:rPr>
          <w:rFonts w:hint="eastAsia"/>
          <w:spacing w:val="-13"/>
          <w:highlight w:val="none"/>
          <w:lang w:eastAsia="zh-CN"/>
        </w:rPr>
        <w:t>（二）允许项目用地规模不超过30亩的乡村产业项目在行政村村庄建设边界内布局，利用农村本地资源开展农产品初加工、发展休闲观光旅游而必需的配套设施建设，可在不占用永久基本农田和生态保护红线、不突破国土空间规划建设用地指标等约束条件、不破坏生态环境和乡村风貌、依照水源保护区相关法律法规的前提下，在村庄建设边界外安排少量建设用地。</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三十七</w:t>
      </w:r>
      <w:r>
        <w:rPr>
          <w:rFonts w:hint="eastAsia" w:ascii="微软雅黑" w:hAnsi="微软雅黑" w:eastAsia="微软雅黑"/>
          <w:b/>
          <w:highlight w:val="none"/>
          <w:lang w:eastAsia="zh-CN"/>
        </w:rPr>
        <w:t xml:space="preserve">条 </w:t>
      </w:r>
      <w:r>
        <w:rPr>
          <w:rFonts w:hint="eastAsia"/>
          <w:highlight w:val="none"/>
          <w:lang w:eastAsia="zh-CN"/>
        </w:rPr>
        <w:t>乡村汽车加油加气站宜靠近公路布局，但不宜选在公路交叉路口附近。汽车加油加气站的选址还应符合有关规划、环境保护和防火安全的要求，并应选在交通便利、用户使用方便的地点</w:t>
      </w:r>
      <w:r>
        <w:rPr>
          <w:spacing w:val="-3"/>
          <w:highlight w:val="none"/>
          <w:lang w:eastAsia="zh-CN"/>
        </w:rPr>
        <w:t>。</w:t>
      </w:r>
    </w:p>
    <w:p>
      <w:pPr>
        <w:pStyle w:val="12"/>
        <w:spacing w:line="360" w:lineRule="auto"/>
        <w:ind w:left="110" w:leftChars="50" w:right="110" w:rightChars="50" w:firstLine="516" w:firstLineChars="200"/>
        <w:jc w:val="both"/>
        <w:rPr>
          <w:spacing w:val="-11"/>
          <w:highlight w:val="none"/>
          <w:lang w:eastAsia="zh-CN"/>
        </w:rPr>
        <w:sectPr>
          <w:pgSz w:w="11910" w:h="16840"/>
          <w:pgMar w:top="148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22" w:name="_bookmark15"/>
      <w:bookmarkEnd w:id="22"/>
      <w:r>
        <w:rPr>
          <w:rFonts w:ascii="微软雅黑" w:hAnsi="微软雅黑" w:eastAsia="微软雅黑" w:cs="微软雅黑"/>
          <w:b/>
          <w:bCs/>
          <w:color w:val="auto"/>
          <w:sz w:val="30"/>
          <w:szCs w:val="30"/>
          <w:highlight w:val="none"/>
          <w:lang w:eastAsia="zh-CN"/>
        </w:rPr>
        <w:t>第六节 其他用地布局</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三十八</w:t>
      </w:r>
      <w:r>
        <w:rPr>
          <w:rFonts w:hint="eastAsia" w:ascii="微软雅黑" w:hAnsi="微软雅黑" w:eastAsia="微软雅黑"/>
          <w:b/>
          <w:sz w:val="28"/>
          <w:szCs w:val="28"/>
          <w:highlight w:val="none"/>
          <w:lang w:eastAsia="zh-CN"/>
        </w:rPr>
        <w:t xml:space="preserve">条 </w:t>
      </w:r>
      <w:r>
        <w:rPr>
          <w:sz w:val="28"/>
          <w:szCs w:val="28"/>
          <w:highlight w:val="none"/>
          <w:lang w:eastAsia="zh-CN"/>
        </w:rPr>
        <w:t>设施农用地布局通用要求：</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符合国土空间规划和农业产业发展规划，选址不得在畜禽养殖禁养区内</w:t>
      </w:r>
      <w:r>
        <w:rPr>
          <w:highlight w:val="none"/>
          <w:lang w:eastAsia="zh-CN"/>
        </w:rPr>
        <w:t>。</w:t>
      </w:r>
    </w:p>
    <w:p>
      <w:pPr>
        <w:pStyle w:val="12"/>
        <w:spacing w:line="360" w:lineRule="auto"/>
        <w:ind w:left="110" w:leftChars="50" w:right="110" w:rightChars="50" w:firstLine="560" w:firstLineChars="200"/>
        <w:jc w:val="both"/>
        <w:rPr>
          <w:highlight w:val="none"/>
          <w:lang w:eastAsia="zh-CN"/>
        </w:rPr>
      </w:pPr>
      <w:r>
        <w:rPr>
          <w:highlight w:val="none"/>
          <w:lang w:eastAsia="zh-CN"/>
        </w:rPr>
        <w:t>（二</w:t>
      </w:r>
      <w:r>
        <w:rPr>
          <w:spacing w:val="-20"/>
          <w:highlight w:val="none"/>
          <w:lang w:eastAsia="zh-CN"/>
        </w:rPr>
        <w:t>）</w:t>
      </w:r>
      <w:r>
        <w:rPr>
          <w:rFonts w:hint="eastAsia"/>
          <w:highlight w:val="none"/>
          <w:lang w:eastAsia="zh-CN"/>
        </w:rPr>
        <w:t>在保护耕地和区域生态环境、集约节约用地的前提下，积极引导设施建设合理选址，尽量利用荒山荒坡、滩涂、坑塘水面以及闲置建设用地，应避免占用耕地，要积极通过耕作层土壤剥离利用、架空或预制板铺面隔离等技术措施，尽量减少对耕作层的破坏</w:t>
      </w:r>
      <w:r>
        <w:rPr>
          <w:highlight w:val="none"/>
          <w:lang w:eastAsia="zh-CN"/>
        </w:rPr>
        <w:t>。</w:t>
      </w:r>
    </w:p>
    <w:p>
      <w:pPr>
        <w:pStyle w:val="12"/>
        <w:spacing w:line="360" w:lineRule="auto"/>
        <w:ind w:left="110" w:leftChars="50" w:right="110" w:rightChars="50" w:firstLine="560" w:firstLineChars="200"/>
        <w:jc w:val="both"/>
        <w:rPr>
          <w:highlight w:val="none"/>
          <w:lang w:eastAsia="zh-CN"/>
        </w:rPr>
      </w:pPr>
      <w:r>
        <w:rPr>
          <w:highlight w:val="none"/>
          <w:lang w:eastAsia="zh-CN"/>
        </w:rPr>
        <w:t>（三</w:t>
      </w:r>
      <w:r>
        <w:rPr>
          <w:spacing w:val="-29"/>
          <w:highlight w:val="none"/>
          <w:lang w:eastAsia="zh-CN"/>
        </w:rPr>
        <w:t>）</w:t>
      </w:r>
      <w:r>
        <w:rPr>
          <w:rFonts w:hint="eastAsia"/>
          <w:spacing w:val="-6"/>
          <w:highlight w:val="none"/>
          <w:lang w:eastAsia="zh-CN"/>
        </w:rPr>
        <w:t>严格控制畜禽养殖设施、水产养殖设施和破坏耕作层的种植业设施等农业设施建设用地使用一般耕地，确需使用的，应经批准并符合相关标准，落实耕地“占补平衡”</w:t>
      </w:r>
      <w:r>
        <w:rPr>
          <w:spacing w:val="-2"/>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（四）</w:t>
      </w:r>
      <w:r>
        <w:rPr>
          <w:rFonts w:hint="eastAsia"/>
          <w:spacing w:val="-1"/>
          <w:highlight w:val="none"/>
          <w:lang w:eastAsia="zh-CN"/>
        </w:rPr>
        <w:t>新建、改扩建规模化畜禽养殖场与饮用水水源保护区、风景名胜区、自然保护区的核心区和缓冲区以及城镇居民区、农村居民点等人口集中区域的最小距离不得小于500米；畜禽养殖设施选址应在畜禽养殖禁养区常年主导风向的下风向或侧风向处</w:t>
      </w:r>
      <w:r>
        <w:rPr>
          <w:spacing w:val="-5"/>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三十九</w:t>
      </w:r>
      <w:r>
        <w:rPr>
          <w:rFonts w:hint="eastAsia" w:ascii="微软雅黑" w:hAnsi="微软雅黑" w:eastAsia="微软雅黑"/>
          <w:b/>
          <w:sz w:val="28"/>
          <w:szCs w:val="28"/>
          <w:highlight w:val="none"/>
          <w:lang w:eastAsia="zh-CN"/>
        </w:rPr>
        <w:t xml:space="preserve">条 </w:t>
      </w:r>
      <w:r>
        <w:rPr>
          <w:sz w:val="28"/>
          <w:szCs w:val="28"/>
          <w:highlight w:val="none"/>
          <w:lang w:eastAsia="zh-CN"/>
        </w:rPr>
        <w:t>矿业用地布局通用要求如下：</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采矿项目用地应根据国土空间规划进行选址，位于国土空间规划确定的城市和村庄、集镇建设用地范围内的建设项目用地</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（二）</w:t>
      </w:r>
      <w:r>
        <w:rPr>
          <w:rFonts w:hint="eastAsia"/>
          <w:highlight w:val="none"/>
          <w:lang w:eastAsia="zh-CN"/>
        </w:rPr>
        <w:t>采矿项目布局应在符合能源矿产资源安全底线管控要求前提下，合理安排采矿项目新增用地布局、规模和时序，对采矿项目新增建设用地和存量采矿用地复垦修复作出空间安排</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（三）</w:t>
      </w:r>
      <w:r>
        <w:rPr>
          <w:rFonts w:hint="eastAsia"/>
          <w:highlight w:val="none"/>
          <w:lang w:eastAsia="zh-CN"/>
        </w:rPr>
        <w:t>矿业开采建设应依据采矿权规划控制数量、资源储量条件、产业发展方向、基础设施建设和市场需求等要素，优先选择孤峰、废弃矿山、整合矿山</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（四）</w:t>
      </w:r>
      <w:r>
        <w:rPr>
          <w:rFonts w:hint="eastAsia"/>
          <w:highlight w:val="none"/>
          <w:lang w:eastAsia="zh-CN"/>
        </w:rPr>
        <w:t>矿业开采布局应结合产业项目工程建设、土地整治、园区建设等需要，科学合理设置集中开采区、开采规划区块，引导矿产资源集中开采、规模开采</w:t>
      </w:r>
      <w:r>
        <w:rPr>
          <w:highlight w:val="none"/>
          <w:lang w:eastAsia="zh-CN"/>
        </w:rPr>
        <w:t>。</w:t>
      </w:r>
    </w:p>
    <w:p>
      <w:pPr>
        <w:pStyle w:val="12"/>
        <w:spacing w:line="360" w:lineRule="auto"/>
        <w:ind w:left="110" w:leftChars="50" w:right="110" w:rightChars="50" w:firstLine="560" w:firstLineChars="200"/>
        <w:rPr>
          <w:rFonts w:hint="eastAsia"/>
          <w:sz w:val="28"/>
          <w:szCs w:val="28"/>
          <w:highlight w:val="none"/>
          <w:lang w:eastAsia="zh-CN"/>
        </w:rPr>
      </w:pPr>
      <w:r>
        <w:rPr>
          <w:rFonts w:hint="eastAsia" w:ascii="微软雅黑" w:hAnsi="微软雅黑" w:eastAsia="微软雅黑" w:cs="仿宋"/>
          <w:b/>
          <w:sz w:val="28"/>
          <w:szCs w:val="28"/>
          <w:highlight w:val="none"/>
          <w:lang w:val="en-US" w:eastAsia="zh-CN" w:bidi="ar-SA"/>
        </w:rPr>
        <w:t>第四十条</w:t>
      </w:r>
      <w:r>
        <w:rPr>
          <w:rFonts w:hint="eastAsia"/>
          <w:highlight w:val="none"/>
          <w:lang w:val="en-US" w:eastAsia="zh-CN"/>
        </w:rPr>
        <w:t xml:space="preserve"> </w:t>
      </w:r>
      <w:r>
        <w:rPr>
          <w:rFonts w:hint="eastAsia"/>
          <w:sz w:val="28"/>
          <w:szCs w:val="28"/>
          <w:highlight w:val="none"/>
          <w:lang w:val="en-US" w:eastAsia="zh-CN"/>
        </w:rPr>
        <w:t>其他</w:t>
      </w:r>
      <w:r>
        <w:rPr>
          <w:sz w:val="28"/>
          <w:szCs w:val="28"/>
          <w:highlight w:val="none"/>
          <w:lang w:eastAsia="zh-CN"/>
        </w:rPr>
        <w:t>用地布局通用要求如下</w:t>
      </w:r>
      <w:r>
        <w:rPr>
          <w:rFonts w:hint="eastAsia"/>
          <w:sz w:val="28"/>
          <w:szCs w:val="28"/>
          <w:highlight w:val="none"/>
          <w:lang w:eastAsia="zh-CN"/>
        </w:rPr>
        <w:t>：</w:t>
      </w:r>
    </w:p>
    <w:p>
      <w:pPr>
        <w:pStyle w:val="12"/>
        <w:spacing w:line="360" w:lineRule="auto"/>
        <w:ind w:left="110" w:leftChars="50" w:right="110" w:rightChars="50" w:firstLine="560" w:firstLineChars="200"/>
        <w:rPr>
          <w:rFonts w:hint="default"/>
          <w:highlight w:val="none"/>
          <w:lang w:val="en-US" w:eastAsia="zh-CN"/>
        </w:rPr>
      </w:pPr>
      <w:r>
        <w:rPr>
          <w:rFonts w:hint="default"/>
          <w:highlight w:val="none"/>
          <w:lang w:val="en-US" w:eastAsia="zh-CN"/>
        </w:rPr>
        <w:t>乡村地区特殊选址需求的项目，如殡葬设施、特殊教育学校、监狱等，</w:t>
      </w:r>
      <w:r>
        <w:rPr>
          <w:rFonts w:hint="eastAsia"/>
          <w:highlight w:val="none"/>
          <w:lang w:val="en-US" w:eastAsia="zh-CN"/>
        </w:rPr>
        <w:t>应</w:t>
      </w:r>
      <w:r>
        <w:rPr>
          <w:rFonts w:hint="default"/>
          <w:highlight w:val="none"/>
          <w:lang w:val="en-US" w:eastAsia="zh-CN"/>
        </w:rPr>
        <w:t>符合上位国空及相关专项规划的要求。</w:t>
      </w:r>
    </w:p>
    <w:p>
      <w:pPr>
        <w:rPr>
          <w:rFonts w:hint="default"/>
          <w:highlight w:val="none"/>
          <w:lang w:val="en-US" w:eastAsia="zh-CN"/>
        </w:rPr>
      </w:pPr>
      <w:r>
        <w:rPr>
          <w:rFonts w:hint="default"/>
          <w:highlight w:val="none"/>
          <w:lang w:val="en-US" w:eastAsia="zh-CN"/>
        </w:rPr>
        <w:br w:type="page"/>
      </w:r>
    </w:p>
    <w:p>
      <w:pPr>
        <w:pStyle w:val="2"/>
        <w:keepNext w:val="0"/>
        <w:keepLines w:val="0"/>
        <w:spacing w:before="0" w:after="0"/>
        <w:ind w:right="296"/>
        <w:jc w:val="center"/>
        <w:rPr>
          <w:rFonts w:ascii="微软雅黑" w:hAnsi="微软雅黑" w:eastAsia="微软雅黑" w:cs="微软雅黑"/>
          <w:b/>
          <w:bCs/>
          <w:color w:val="auto"/>
          <w:sz w:val="32"/>
          <w:szCs w:val="32"/>
          <w:highlight w:val="none"/>
          <w:lang w:eastAsia="zh-CN"/>
        </w:rPr>
      </w:pPr>
      <w:bookmarkStart w:id="23" w:name="_bookmark16"/>
      <w:bookmarkEnd w:id="23"/>
      <w:bookmarkStart w:id="24" w:name="_Toc21970"/>
      <w:r>
        <w:rPr>
          <w:rFonts w:ascii="微软雅黑" w:hAnsi="微软雅黑" w:eastAsia="微软雅黑" w:cs="微软雅黑"/>
          <w:b/>
          <w:bCs/>
          <w:color w:val="auto"/>
          <w:sz w:val="32"/>
          <w:szCs w:val="32"/>
          <w:highlight w:val="none"/>
          <w:lang w:eastAsia="zh-CN"/>
        </w:rPr>
        <w:t>第五章 建设控制</w:t>
      </w:r>
      <w:bookmarkEnd w:id="24"/>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25" w:name="_bookmark17"/>
      <w:bookmarkEnd w:id="25"/>
      <w:r>
        <w:rPr>
          <w:rFonts w:ascii="微软雅黑" w:hAnsi="微软雅黑" w:eastAsia="微软雅黑" w:cs="微软雅黑"/>
          <w:b/>
          <w:bCs/>
          <w:color w:val="auto"/>
          <w:sz w:val="30"/>
          <w:szCs w:val="30"/>
          <w:highlight w:val="none"/>
          <w:lang w:eastAsia="zh-CN"/>
        </w:rPr>
        <w:t>第一节 建设标准</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第四十</w:t>
      </w:r>
      <w:r>
        <w:rPr>
          <w:rFonts w:hint="eastAsia" w:ascii="微软雅黑" w:hAnsi="微软雅黑" w:eastAsia="微软雅黑"/>
          <w:b/>
          <w:sz w:val="28"/>
          <w:szCs w:val="28"/>
          <w:highlight w:val="none"/>
          <w:lang w:val="en-US" w:eastAsia="zh-CN"/>
        </w:rPr>
        <w:t>一</w:t>
      </w:r>
      <w:r>
        <w:rPr>
          <w:rFonts w:hint="eastAsia" w:ascii="微软雅黑" w:hAnsi="微软雅黑" w:eastAsia="微软雅黑"/>
          <w:b/>
          <w:sz w:val="28"/>
          <w:szCs w:val="28"/>
          <w:highlight w:val="none"/>
          <w:lang w:eastAsia="zh-CN"/>
        </w:rPr>
        <w:t xml:space="preserve">条 </w:t>
      </w:r>
      <w:r>
        <w:rPr>
          <w:rFonts w:hint="eastAsia"/>
          <w:sz w:val="28"/>
          <w:szCs w:val="28"/>
          <w:highlight w:val="none"/>
          <w:lang w:eastAsia="zh-CN"/>
        </w:rPr>
        <w:t>村民住房建设的标准应符合以下规定</w:t>
      </w:r>
      <w:r>
        <w:rPr>
          <w:sz w:val="28"/>
          <w:szCs w:val="28"/>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严格落实农村宅基地“一户一宅”制度，农村村民一户只能拥有一处宅基地，村民住宅只能在确定的宅基地上建设。新增农村宅基地申请条件应符合《广西壮族自治区土地管理条</w:t>
      </w:r>
      <w:r>
        <w:rPr>
          <w:rFonts w:hint="eastAsia"/>
          <w:highlight w:val="none"/>
          <w:lang w:eastAsia="zh-CN"/>
        </w:rPr>
        <w:t>例》、《</w:t>
      </w:r>
      <w:r>
        <w:rPr>
          <w:rFonts w:hint="eastAsia" w:ascii="仿宋" w:hAnsi="仿宋" w:eastAsia="仿宋" w:cs="仿宋"/>
          <w:i w:val="0"/>
          <w:iCs w:val="0"/>
          <w:caps w:val="0"/>
          <w:color w:val="auto"/>
          <w:spacing w:val="0"/>
          <w:sz w:val="28"/>
          <w:szCs w:val="28"/>
          <w:highlight w:val="none"/>
          <w:shd w:val="clear" w:fill="auto"/>
          <w:lang w:eastAsia="zh-CN"/>
        </w:rPr>
        <w:t>柳州市农村农民建房“一件事”办事指南</w:t>
      </w:r>
      <w:r>
        <w:rPr>
          <w:rFonts w:hint="eastAsia"/>
          <w:highlight w:val="none"/>
          <w:lang w:eastAsia="zh-CN"/>
        </w:rPr>
        <w:t>》</w:t>
      </w:r>
      <w:r>
        <w:rPr>
          <w:rFonts w:hint="eastAsia"/>
          <w:highlight w:val="none"/>
          <w:lang w:eastAsia="zh-CN"/>
        </w:rPr>
        <w:t>。对历史形成的宅基地面积超标和“一户多宅”等问题要按照有关政策规定分类进行认定和处置。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（二）农村村民宅基地面积不得超过100平方米。农村村民应严格按照批准面积和建房标准建设住宅，禁止未批先建、超面积占用宅基地，应符合《广西壮族自治区土地管理条例》、《</w:t>
      </w:r>
      <w:r>
        <w:rPr>
          <w:rFonts w:hint="eastAsia" w:ascii="仿宋" w:hAnsi="仿宋" w:eastAsia="仿宋" w:cs="仿宋"/>
          <w:i w:val="0"/>
          <w:iCs w:val="0"/>
          <w:caps w:val="0"/>
          <w:spacing w:val="0"/>
          <w:sz w:val="28"/>
          <w:szCs w:val="28"/>
          <w:highlight w:val="none"/>
          <w:shd w:val="clear"/>
          <w:lang w:eastAsia="zh-CN"/>
        </w:rPr>
        <w:t>柳州市农村农民建房“一件事”办事指南</w:t>
      </w:r>
      <w:r>
        <w:rPr>
          <w:rFonts w:hint="eastAsia" w:cs="仿宋"/>
          <w:i w:val="0"/>
          <w:iCs w:val="0"/>
          <w:caps w:val="0"/>
          <w:spacing w:val="0"/>
          <w:sz w:val="28"/>
          <w:szCs w:val="28"/>
          <w:highlight w:val="none"/>
          <w:shd w:val="clear"/>
          <w:lang w:eastAsia="zh-CN"/>
        </w:rPr>
        <w:t>》</w:t>
      </w:r>
      <w:r>
        <w:rPr>
          <w:rFonts w:hint="eastAsia"/>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w:t>
      </w:r>
      <w:r>
        <w:rPr>
          <w:rFonts w:hint="eastAsia"/>
          <w:highlight w:val="none"/>
          <w:lang w:eastAsia="zh-CN"/>
        </w:rPr>
        <w:t>三</w:t>
      </w:r>
      <w:r>
        <w:rPr>
          <w:highlight w:val="none"/>
          <w:lang w:eastAsia="zh-CN"/>
        </w:rPr>
        <w:t>）</w:t>
      </w:r>
      <w:r>
        <w:rPr>
          <w:rFonts w:hint="eastAsia"/>
          <w:highlight w:val="none"/>
          <w:lang w:val="en-US" w:eastAsia="zh-CN"/>
        </w:rPr>
        <w:t>新增农房</w:t>
      </w:r>
      <w:r>
        <w:rPr>
          <w:rFonts w:hint="eastAsia"/>
          <w:highlight w:val="none"/>
          <w:lang w:eastAsia="zh-CN"/>
        </w:rPr>
        <w:t>户均建筑面积</w:t>
      </w:r>
      <w:r>
        <w:rPr>
          <w:rFonts w:hint="eastAsia"/>
          <w:highlight w:val="none"/>
          <w:lang w:val="en-US" w:eastAsia="zh-CN"/>
        </w:rPr>
        <w:t>在</w:t>
      </w:r>
      <w:r>
        <w:rPr>
          <w:rFonts w:hint="eastAsia"/>
          <w:highlight w:val="none"/>
          <w:lang w:eastAsia="zh-CN"/>
        </w:rPr>
        <w:t>符合《广西壮族自治区乡村规划建设管理条例》、《</w:t>
      </w:r>
      <w:r>
        <w:rPr>
          <w:rFonts w:hint="eastAsia" w:ascii="仿宋" w:hAnsi="仿宋" w:eastAsia="仿宋" w:cs="仿宋"/>
          <w:i w:val="0"/>
          <w:iCs w:val="0"/>
          <w:caps w:val="0"/>
          <w:spacing w:val="0"/>
          <w:sz w:val="28"/>
          <w:szCs w:val="28"/>
          <w:highlight w:val="none"/>
          <w:shd w:val="clear"/>
          <w:lang w:eastAsia="zh-CN"/>
        </w:rPr>
        <w:t>柳州市农村农民建房“一件事”办事指南</w:t>
      </w:r>
      <w:r>
        <w:rPr>
          <w:rFonts w:hint="eastAsia" w:cs="仿宋"/>
          <w:i w:val="0"/>
          <w:iCs w:val="0"/>
          <w:caps w:val="0"/>
          <w:spacing w:val="0"/>
          <w:sz w:val="28"/>
          <w:szCs w:val="28"/>
          <w:highlight w:val="none"/>
          <w:shd w:val="clear"/>
          <w:lang w:eastAsia="zh-CN"/>
        </w:rPr>
        <w:t>》</w:t>
      </w:r>
      <w:r>
        <w:rPr>
          <w:rFonts w:hint="eastAsia"/>
          <w:highlight w:val="none"/>
          <w:lang w:eastAsia="zh-CN"/>
        </w:rPr>
        <w:t>规定的宅基地用地面积前提下，每户建筑面积不得超过300平方米。</w:t>
      </w:r>
    </w:p>
    <w:p>
      <w:pPr>
        <w:pStyle w:val="12"/>
        <w:spacing w:line="360" w:lineRule="auto"/>
        <w:ind w:left="110" w:leftChars="50" w:right="110" w:rightChars="50" w:firstLine="560" w:firstLineChars="200"/>
        <w:rPr>
          <w:highlight w:val="none"/>
          <w:lang w:eastAsia="zh-CN"/>
        </w:rPr>
      </w:pPr>
      <w:r>
        <w:rPr>
          <w:highlight w:val="none"/>
          <w:lang w:eastAsia="zh-CN"/>
        </w:rPr>
        <w:t>（</w:t>
      </w:r>
      <w:r>
        <w:rPr>
          <w:rFonts w:hint="eastAsia"/>
          <w:highlight w:val="none"/>
          <w:lang w:eastAsia="zh-CN"/>
        </w:rPr>
        <w:t>四</w:t>
      </w:r>
      <w:r>
        <w:rPr>
          <w:spacing w:val="-15"/>
          <w:highlight w:val="none"/>
          <w:lang w:eastAsia="zh-CN"/>
        </w:rPr>
        <w:t>）</w:t>
      </w:r>
      <w:r>
        <w:rPr>
          <w:rFonts w:hint="eastAsia"/>
          <w:highlight w:val="none"/>
          <w:lang w:eastAsia="zh-CN"/>
        </w:rPr>
        <w:t>改建、扩建的，原建筑规模已达到或超过前述控制要求的，其批准建筑面积不得超过原不动产权或房产证上注明的建筑面积</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第四十</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 xml:space="preserve">条 </w:t>
      </w:r>
      <w:r>
        <w:rPr>
          <w:rFonts w:hint="eastAsia"/>
          <w:highlight w:val="none"/>
          <w:lang w:eastAsia="zh-CN"/>
        </w:rPr>
        <w:t>乡村公共服务设施、市政公用设施建设标准如下：</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（一）供水设施、污水处理设施、供电设施、环卫设施等建设标准应结合乡村人口规模及设施的服务要求，合理确定设计规模和建设标准。</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消防设施建设要求：①消防室应配备手抬机动泵、水枪、水带、灭火器、破拆工具等全部或部分消防装备，并设置火警电话和值班人员，有专职、义务或志愿消防队员；②室外消防给水管道的管径不宜小于100毫米，室外消火栓间距不宜大于120米，室外消火栓应沿道路设置，并宜靠近十字路口，与房屋外墙距离不宜小于2米；③消防水池设置容量不宜小于100立方米；④村民委员会应当组织制定规范村民行为的防火公约，防火公约标注在村庄醒目的位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（三）其他乡村公共服务设施、市政公用设施建设标准宜参照《社区生活圈规划技术指南》执行。（乡村公共服务设施、市政公用设施配置建议详见附表五）</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第四十</w:t>
      </w:r>
      <w:r>
        <w:rPr>
          <w:rFonts w:hint="eastAsia" w:ascii="微软雅黑" w:hAnsi="微软雅黑" w:eastAsia="微软雅黑"/>
          <w:b/>
          <w:sz w:val="28"/>
          <w:szCs w:val="28"/>
          <w:highlight w:val="none"/>
          <w:lang w:val="en-US" w:eastAsia="zh-CN"/>
        </w:rPr>
        <w:t>三</w:t>
      </w:r>
      <w:r>
        <w:rPr>
          <w:rFonts w:hint="eastAsia" w:ascii="微软雅黑" w:hAnsi="微软雅黑" w:eastAsia="微软雅黑"/>
          <w:b/>
          <w:sz w:val="28"/>
          <w:szCs w:val="28"/>
          <w:highlight w:val="none"/>
          <w:lang w:eastAsia="zh-CN"/>
        </w:rPr>
        <w:t xml:space="preserve">条 </w:t>
      </w:r>
      <w:r>
        <w:rPr>
          <w:rFonts w:hint="eastAsia"/>
          <w:sz w:val="28"/>
          <w:szCs w:val="28"/>
          <w:highlight w:val="none"/>
          <w:lang w:eastAsia="zh-CN"/>
        </w:rPr>
        <w:t>乡村产业用地建设标准如下</w:t>
      </w:r>
      <w:r>
        <w:rPr>
          <w:sz w:val="28"/>
          <w:szCs w:val="28"/>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（一）乡村不宜建设大型、中型商业服务业用地，商业服务业设施应结合村庄产业发展需求及村民生活习惯配套完善的商业服务功能，兼顾村民便捷使用。</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（二）乡村地区不宜布置大型工业用地，用地范围内配建的行政办公及生活服务设施用地面积不得大于项目总用地面积的7%，建筑面积不得大于项目总建筑面积的15%。</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（三）乡村地区不宜布置大型、中型仓储用地，物流仓储用地配套的行政办公、展示展览、交易场所、值班室、宿舍、食堂等设施用地面积占项目总用地面积比例不超过10%。</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（四）乡村产业用地与村民住房、乡村公共服务设施之间存在干扰的应</w:t>
      </w:r>
      <w:r>
        <w:rPr>
          <w:rFonts w:hint="eastAsia"/>
          <w:highlight w:val="none"/>
          <w:lang w:val="en-US" w:eastAsia="zh-CN"/>
        </w:rPr>
        <w:t>保持适当</w:t>
      </w:r>
      <w:r>
        <w:rPr>
          <w:rFonts w:hint="eastAsia"/>
          <w:highlight w:val="none"/>
          <w:lang w:eastAsia="zh-CN"/>
        </w:rPr>
        <w:t>防护隔离</w:t>
      </w:r>
      <w:r>
        <w:rPr>
          <w:rFonts w:hint="eastAsia"/>
          <w:highlight w:val="none"/>
          <w:lang w:val="en-US" w:eastAsia="zh-CN"/>
        </w:rPr>
        <w:t>间距</w:t>
      </w:r>
      <w:r>
        <w:rPr>
          <w:rFonts w:hint="eastAsia"/>
          <w:highlight w:val="none"/>
          <w:lang w:eastAsia="zh-CN"/>
        </w:rPr>
        <w:t>。</w:t>
      </w:r>
    </w:p>
    <w:p>
      <w:pPr>
        <w:spacing w:line="360" w:lineRule="auto"/>
        <w:ind w:left="110" w:leftChars="50" w:right="110" w:rightChars="50" w:firstLine="560" w:firstLineChars="200"/>
        <w:rPr>
          <w:rFonts w:hint="eastAsia"/>
          <w:sz w:val="28"/>
          <w:szCs w:val="28"/>
          <w:highlight w:val="none"/>
          <w:lang w:eastAsia="zh-CN"/>
        </w:rPr>
      </w:pPr>
      <w:r>
        <w:rPr>
          <w:rFonts w:hint="eastAsia" w:ascii="微软雅黑" w:hAnsi="微软雅黑" w:eastAsia="微软雅黑"/>
          <w:b/>
          <w:sz w:val="28"/>
          <w:szCs w:val="28"/>
          <w:highlight w:val="none"/>
          <w:lang w:eastAsia="zh-CN"/>
        </w:rPr>
        <w:t>第四十</w:t>
      </w:r>
      <w:r>
        <w:rPr>
          <w:rFonts w:hint="eastAsia" w:ascii="微软雅黑" w:hAnsi="微软雅黑" w:eastAsia="微软雅黑"/>
          <w:b/>
          <w:sz w:val="28"/>
          <w:szCs w:val="28"/>
          <w:highlight w:val="none"/>
          <w:lang w:val="en-US" w:eastAsia="zh-CN"/>
        </w:rPr>
        <w:t>四</w:t>
      </w:r>
      <w:r>
        <w:rPr>
          <w:rFonts w:hint="eastAsia" w:ascii="微软雅黑" w:hAnsi="微软雅黑" w:eastAsia="微软雅黑"/>
          <w:b/>
          <w:sz w:val="28"/>
          <w:szCs w:val="28"/>
          <w:highlight w:val="none"/>
          <w:lang w:eastAsia="zh-CN"/>
        </w:rPr>
        <w:t xml:space="preserve">条 </w:t>
      </w:r>
      <w:r>
        <w:rPr>
          <w:sz w:val="28"/>
          <w:szCs w:val="28"/>
          <w:highlight w:val="none"/>
          <w:lang w:eastAsia="zh-CN"/>
        </w:rPr>
        <w:t>设施农用地建设标准</w:t>
      </w:r>
      <w:r>
        <w:rPr>
          <w:rFonts w:hint="eastAsia"/>
          <w:sz w:val="28"/>
          <w:szCs w:val="28"/>
          <w:highlight w:val="none"/>
          <w:lang w:eastAsia="zh-CN"/>
        </w:rPr>
        <w:t>应符合设施农用地</w:t>
      </w:r>
      <w:r>
        <w:rPr>
          <w:rFonts w:hint="eastAsia"/>
          <w:sz w:val="28"/>
          <w:szCs w:val="28"/>
          <w:highlight w:val="none"/>
          <w:lang w:val="en-US" w:eastAsia="zh-CN"/>
        </w:rPr>
        <w:t>相关</w:t>
      </w:r>
      <w:r>
        <w:rPr>
          <w:rFonts w:hint="eastAsia"/>
          <w:sz w:val="28"/>
          <w:szCs w:val="28"/>
          <w:highlight w:val="none"/>
          <w:lang w:eastAsia="zh-CN"/>
        </w:rPr>
        <w:t>管理规定</w:t>
      </w:r>
      <w:r>
        <w:rPr>
          <w:sz w:val="28"/>
          <w:szCs w:val="28"/>
          <w:highlight w:val="none"/>
          <w:lang w:eastAsia="zh-CN"/>
        </w:rPr>
        <w:t>：</w:t>
      </w:r>
    </w:p>
    <w:p>
      <w:pPr>
        <w:pStyle w:val="12"/>
        <w:numPr>
          <w:ilvl w:val="0"/>
          <w:numId w:val="2"/>
        </w:numPr>
        <w:spacing w:line="360" w:lineRule="auto"/>
        <w:ind w:left="110" w:leftChars="50" w:right="110" w:rightChars="50" w:firstLine="560" w:firstLineChars="200"/>
        <w:rPr>
          <w:rFonts w:hint="eastAsia"/>
          <w:highlight w:val="none"/>
          <w:lang w:val="en-US" w:eastAsia="zh-CN"/>
        </w:rPr>
      </w:pPr>
      <w:r>
        <w:rPr>
          <w:rFonts w:hint="eastAsia"/>
          <w:highlight w:val="none"/>
          <w:lang w:eastAsia="zh-CN"/>
        </w:rPr>
        <w:t>合理确定设施农业用地选址。科学引导设施建设合理选址，规范永久基本农田上农业生产活动。</w:t>
      </w:r>
    </w:p>
    <w:p>
      <w:pPr>
        <w:pStyle w:val="12"/>
        <w:numPr>
          <w:ilvl w:val="0"/>
          <w:numId w:val="2"/>
        </w:numPr>
        <w:spacing w:line="360" w:lineRule="auto"/>
        <w:ind w:left="110" w:leftChars="50" w:right="110" w:rightChars="50" w:firstLine="560" w:firstLineChars="200"/>
        <w:rPr>
          <w:rFonts w:hint="eastAsia"/>
          <w:highlight w:val="none"/>
          <w:lang w:val="en-US" w:eastAsia="zh-CN"/>
        </w:rPr>
      </w:pPr>
      <w:r>
        <w:rPr>
          <w:rFonts w:hint="eastAsia"/>
          <w:highlight w:val="none"/>
          <w:lang w:eastAsia="zh-CN"/>
        </w:rPr>
        <w:t>合理确定用地规模。对于农业生产中直接用于作物种植（</w:t>
      </w:r>
      <w:r>
        <w:rPr>
          <w:rFonts w:hint="eastAsia"/>
          <w:highlight w:val="none"/>
          <w:lang w:val="en-US" w:eastAsia="zh-CN"/>
        </w:rPr>
        <w:t>含菌类</w:t>
      </w:r>
      <w:r>
        <w:rPr>
          <w:rFonts w:hint="eastAsia"/>
          <w:highlight w:val="none"/>
          <w:lang w:eastAsia="zh-CN"/>
        </w:rPr>
        <w:t>）和畜禽（</w:t>
      </w:r>
      <w:r>
        <w:rPr>
          <w:rFonts w:hint="eastAsia"/>
          <w:highlight w:val="none"/>
          <w:lang w:val="en-US" w:eastAsia="zh-CN"/>
        </w:rPr>
        <w:t>蚕</w:t>
      </w:r>
      <w:r>
        <w:rPr>
          <w:rFonts w:hint="eastAsia"/>
          <w:highlight w:val="none"/>
          <w:lang w:eastAsia="zh-CN"/>
        </w:rPr>
        <w:t>）、水产养殖的设施用地规模，其中国家已颁布行业标准的，按照行业标准执行；未颁布行业标准的，按</w:t>
      </w:r>
      <w:r>
        <w:rPr>
          <w:rFonts w:hint="eastAsia"/>
          <w:highlight w:val="none"/>
          <w:lang w:val="en-US" w:eastAsia="zh-CN"/>
        </w:rPr>
        <w:t>国家及广西壮族自治区规定执行。</w:t>
      </w:r>
    </w:p>
    <w:p>
      <w:pPr>
        <w:pStyle w:val="12"/>
        <w:spacing w:line="360" w:lineRule="auto"/>
        <w:ind w:left="110" w:leftChars="50" w:right="110" w:rightChars="50" w:firstLine="560" w:firstLineChars="200"/>
        <w:rPr>
          <w:spacing w:val="-5"/>
          <w:highlight w:val="none"/>
          <w:lang w:eastAsia="zh-CN"/>
        </w:rPr>
        <w:sectPr>
          <w:pgSz w:w="11910" w:h="16840"/>
          <w:pgMar w:top="1480" w:right="680" w:bottom="880" w:left="980" w:header="850" w:footer="992" w:gutter="0"/>
          <w:cols w:space="720" w:num="1"/>
        </w:sectPr>
      </w:pPr>
      <w:r>
        <w:rPr>
          <w:rFonts w:hint="eastAsia" w:ascii="微软雅黑" w:hAnsi="微软雅黑" w:eastAsia="微软雅黑"/>
          <w:b/>
          <w:highlight w:val="none"/>
          <w:lang w:eastAsia="zh-CN"/>
        </w:rPr>
        <w:t>第四十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 xml:space="preserve">条 </w:t>
      </w:r>
      <w:r>
        <w:rPr>
          <w:rFonts w:hint="eastAsia"/>
          <w:spacing w:val="-7"/>
          <w:highlight w:val="none"/>
          <w:lang w:eastAsia="zh-CN"/>
        </w:rPr>
        <w:t>矿山开采规模必须与矿产资源储量规模、矿山服务年限相适应，坚持大矿大开，合理引导小矿山的开发利用。新设矿山必须达到柳州市最低开采规模准入条件。</w:t>
      </w: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26" w:name="_bookmark18"/>
      <w:bookmarkEnd w:id="26"/>
      <w:r>
        <w:rPr>
          <w:rFonts w:ascii="微软雅黑" w:hAnsi="微软雅黑" w:eastAsia="微软雅黑" w:cs="微软雅黑"/>
          <w:b/>
          <w:bCs/>
          <w:color w:val="auto"/>
          <w:sz w:val="30"/>
          <w:szCs w:val="30"/>
          <w:highlight w:val="none"/>
          <w:lang w:eastAsia="zh-CN"/>
        </w:rPr>
        <w:t>第二节 建筑退距</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第四十</w:t>
      </w:r>
      <w:r>
        <w:rPr>
          <w:rFonts w:hint="eastAsia" w:ascii="微软雅黑" w:hAnsi="微软雅黑" w:eastAsia="微软雅黑"/>
          <w:b/>
          <w:highlight w:val="none"/>
          <w:lang w:val="en-US" w:eastAsia="zh-CN"/>
        </w:rPr>
        <w:t>六</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沿铁路及公路两侧新建、扩建的乡村建筑，在满足《铁路安全管理条例》《公路安全保护条例》《城市对外交通规划规范》等要求下，新建建筑退让距离还应满足下表要求</w:t>
      </w:r>
      <w:r>
        <w:rPr>
          <w:highlight w:val="none"/>
          <w:lang w:eastAsia="zh-CN"/>
        </w:rPr>
        <w:t>。</w:t>
      </w: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5.1 </w:t>
      </w:r>
      <w:r>
        <w:rPr>
          <w:rFonts w:hint="eastAsia"/>
          <w:sz w:val="28"/>
          <w:szCs w:val="28"/>
          <w:highlight w:val="none"/>
          <w:lang w:val="en-US" w:eastAsia="zh-CN"/>
        </w:rPr>
        <w:t xml:space="preserve"> </w:t>
      </w:r>
      <w:r>
        <w:rPr>
          <w:rFonts w:hint="eastAsia"/>
          <w:sz w:val="28"/>
          <w:szCs w:val="28"/>
          <w:highlight w:val="none"/>
          <w:lang w:eastAsia="zh-CN"/>
        </w:rPr>
        <w:t>建筑退让铁路及公路距离控制指标表</w:t>
      </w:r>
    </w:p>
    <w:tbl>
      <w:tblPr>
        <w:tblStyle w:val="44"/>
        <w:tblW w:w="9738"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21"/>
        <w:gridCol w:w="1673"/>
        <w:gridCol w:w="5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2921" w:type="dxa"/>
          </w:tcPr>
          <w:p>
            <w:pPr>
              <w:pStyle w:val="46"/>
              <w:spacing w:line="360" w:lineRule="auto"/>
              <w:ind w:left="110" w:leftChars="50" w:right="110" w:rightChars="50" w:firstLine="440" w:firstLineChars="200"/>
              <w:rPr>
                <w:highlight w:val="none"/>
              </w:rPr>
            </w:pPr>
            <w:r>
              <w:rPr>
                <w:highlight w:val="none"/>
              </w:rPr>
              <w:t>铁路及公路等级</w:t>
            </w:r>
          </w:p>
        </w:tc>
        <w:tc>
          <w:tcPr>
            <w:tcW w:w="1673" w:type="dxa"/>
          </w:tcPr>
          <w:p>
            <w:pPr>
              <w:pStyle w:val="46"/>
              <w:spacing w:line="360" w:lineRule="auto"/>
              <w:ind w:left="110" w:leftChars="50" w:right="110" w:rightChars="50" w:firstLine="440" w:firstLineChars="200"/>
              <w:rPr>
                <w:highlight w:val="none"/>
              </w:rPr>
            </w:pPr>
            <w:r>
              <w:rPr>
                <w:highlight w:val="none"/>
              </w:rPr>
              <w:t>退让距离</w:t>
            </w:r>
          </w:p>
        </w:tc>
        <w:tc>
          <w:tcPr>
            <w:tcW w:w="5144" w:type="dxa"/>
          </w:tcPr>
          <w:p>
            <w:pPr>
              <w:pStyle w:val="46"/>
              <w:spacing w:line="360" w:lineRule="auto"/>
              <w:ind w:left="110" w:leftChars="50" w:right="110" w:rightChars="50" w:firstLine="440" w:firstLineChars="200"/>
              <w:rPr>
                <w:highlight w:val="none"/>
              </w:rPr>
            </w:pPr>
            <w:r>
              <w:rPr>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2921" w:type="dxa"/>
          </w:tcPr>
          <w:p>
            <w:pPr>
              <w:pStyle w:val="46"/>
              <w:spacing w:line="360" w:lineRule="auto"/>
              <w:ind w:left="110" w:leftChars="50" w:right="110" w:rightChars="50" w:firstLine="440" w:firstLineChars="200"/>
              <w:rPr>
                <w:highlight w:val="none"/>
              </w:rPr>
            </w:pPr>
            <w:r>
              <w:rPr>
                <w:highlight w:val="none"/>
              </w:rPr>
              <w:t>高速铁路</w:t>
            </w:r>
          </w:p>
        </w:tc>
        <w:tc>
          <w:tcPr>
            <w:tcW w:w="1673" w:type="dxa"/>
          </w:tcPr>
          <w:p>
            <w:pPr>
              <w:pStyle w:val="46"/>
              <w:spacing w:line="360" w:lineRule="auto"/>
              <w:ind w:left="110" w:leftChars="50" w:right="110" w:rightChars="50" w:firstLine="440" w:firstLineChars="200"/>
              <w:rPr>
                <w:highlight w:val="none"/>
              </w:rPr>
            </w:pPr>
            <w:r>
              <w:rPr>
                <w:highlight w:val="none"/>
              </w:rPr>
              <w:t>≥</w:t>
            </w:r>
            <w:r>
              <w:rPr>
                <w:rFonts w:hint="eastAsia"/>
                <w:highlight w:val="none"/>
                <w:lang w:val="en-US" w:eastAsia="zh-CN"/>
              </w:rPr>
              <w:t>15</w:t>
            </w:r>
            <w:r>
              <w:rPr>
                <w:highlight w:val="none"/>
              </w:rPr>
              <w:t>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建筑边缘与铁路路基外侧的距离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2921" w:type="dxa"/>
          </w:tcPr>
          <w:p>
            <w:pPr>
              <w:pStyle w:val="46"/>
              <w:spacing w:line="360" w:lineRule="auto"/>
              <w:ind w:left="110" w:leftChars="50" w:right="110" w:rightChars="50" w:firstLine="440" w:firstLineChars="200"/>
              <w:rPr>
                <w:highlight w:val="none"/>
              </w:rPr>
            </w:pPr>
            <w:r>
              <w:rPr>
                <w:highlight w:val="none"/>
              </w:rPr>
              <w:t>铁路干线</w:t>
            </w:r>
          </w:p>
        </w:tc>
        <w:tc>
          <w:tcPr>
            <w:tcW w:w="1673" w:type="dxa"/>
          </w:tcPr>
          <w:p>
            <w:pPr>
              <w:pStyle w:val="46"/>
              <w:spacing w:line="360" w:lineRule="auto"/>
              <w:ind w:left="110" w:leftChars="50" w:right="110" w:rightChars="50" w:firstLine="440" w:firstLineChars="200"/>
              <w:rPr>
                <w:highlight w:val="none"/>
              </w:rPr>
            </w:pPr>
            <w:r>
              <w:rPr>
                <w:highlight w:val="none"/>
              </w:rPr>
              <w:t>≥</w:t>
            </w:r>
            <w:r>
              <w:rPr>
                <w:rFonts w:hint="eastAsia"/>
                <w:highlight w:val="none"/>
                <w:lang w:val="en-US" w:eastAsia="zh-CN"/>
              </w:rPr>
              <w:t>12</w:t>
            </w:r>
            <w:r>
              <w:rPr>
                <w:highlight w:val="none"/>
              </w:rPr>
              <w:t>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建筑边缘与铁路路基外侧的距离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2921" w:type="dxa"/>
          </w:tcPr>
          <w:p>
            <w:pPr>
              <w:pStyle w:val="46"/>
              <w:spacing w:line="360" w:lineRule="auto"/>
              <w:ind w:left="110" w:leftChars="50" w:right="110" w:rightChars="50" w:firstLine="440" w:firstLineChars="200"/>
              <w:rPr>
                <w:highlight w:val="none"/>
              </w:rPr>
            </w:pPr>
            <w:r>
              <w:rPr>
                <w:highlight w:val="none"/>
              </w:rPr>
              <w:t>铁路支路、专用线</w:t>
            </w:r>
          </w:p>
        </w:tc>
        <w:tc>
          <w:tcPr>
            <w:tcW w:w="1673" w:type="dxa"/>
          </w:tcPr>
          <w:p>
            <w:pPr>
              <w:pStyle w:val="46"/>
              <w:spacing w:line="360" w:lineRule="auto"/>
              <w:ind w:left="110" w:leftChars="50" w:right="110" w:rightChars="50" w:firstLine="440" w:firstLineChars="200"/>
              <w:rPr>
                <w:highlight w:val="none"/>
              </w:rPr>
            </w:pPr>
            <w:r>
              <w:rPr>
                <w:highlight w:val="none"/>
              </w:rPr>
              <w:t>≥</w:t>
            </w:r>
            <w:r>
              <w:rPr>
                <w:rFonts w:hint="eastAsia"/>
                <w:highlight w:val="none"/>
                <w:lang w:val="en-US" w:eastAsia="zh-CN"/>
              </w:rPr>
              <w:t>12</w:t>
            </w:r>
            <w:r>
              <w:rPr>
                <w:highlight w:val="none"/>
              </w:rPr>
              <w:t>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建筑边缘与铁路路基外侧的距离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2921" w:type="dxa"/>
          </w:tcPr>
          <w:p>
            <w:pPr>
              <w:pStyle w:val="46"/>
              <w:spacing w:line="360" w:lineRule="auto"/>
              <w:ind w:left="110" w:leftChars="50" w:right="110" w:rightChars="50" w:firstLine="440" w:firstLineChars="200"/>
              <w:rPr>
                <w:highlight w:val="none"/>
              </w:rPr>
            </w:pPr>
            <w:r>
              <w:rPr>
                <w:highlight w:val="none"/>
              </w:rPr>
              <w:t>高速公路</w:t>
            </w:r>
          </w:p>
        </w:tc>
        <w:tc>
          <w:tcPr>
            <w:tcW w:w="1673" w:type="dxa"/>
          </w:tcPr>
          <w:p>
            <w:pPr>
              <w:pStyle w:val="46"/>
              <w:spacing w:line="360" w:lineRule="auto"/>
              <w:ind w:left="110" w:leftChars="50" w:right="110" w:rightChars="50" w:firstLine="440" w:firstLineChars="200"/>
              <w:rPr>
                <w:highlight w:val="none"/>
              </w:rPr>
            </w:pPr>
            <w:r>
              <w:rPr>
                <w:highlight w:val="none"/>
              </w:rPr>
              <w:t>≥</w:t>
            </w:r>
            <w:r>
              <w:rPr>
                <w:rFonts w:hint="eastAsia"/>
                <w:highlight w:val="none"/>
                <w:lang w:val="en-US" w:eastAsia="zh-CN"/>
              </w:rPr>
              <w:t>30</w:t>
            </w:r>
            <w:r>
              <w:rPr>
                <w:highlight w:val="none"/>
              </w:rPr>
              <w:t>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从公路用地外缘起向外的距离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2921" w:type="dxa"/>
          </w:tcPr>
          <w:p>
            <w:pPr>
              <w:pStyle w:val="46"/>
              <w:spacing w:line="360" w:lineRule="auto"/>
              <w:ind w:left="110" w:leftChars="50" w:right="110" w:rightChars="50" w:firstLine="440" w:firstLineChars="200"/>
              <w:rPr>
                <w:highlight w:val="none"/>
              </w:rPr>
            </w:pPr>
            <w:r>
              <w:rPr>
                <w:highlight w:val="none"/>
              </w:rPr>
              <w:t>国道</w:t>
            </w:r>
          </w:p>
        </w:tc>
        <w:tc>
          <w:tcPr>
            <w:tcW w:w="1673" w:type="dxa"/>
          </w:tcPr>
          <w:p>
            <w:pPr>
              <w:pStyle w:val="46"/>
              <w:spacing w:line="360" w:lineRule="auto"/>
              <w:ind w:left="110" w:leftChars="50" w:right="110" w:rightChars="50" w:firstLine="440" w:firstLineChars="200"/>
              <w:rPr>
                <w:highlight w:val="none"/>
              </w:rPr>
            </w:pPr>
            <w:r>
              <w:rPr>
                <w:highlight w:val="none"/>
              </w:rPr>
              <w:t>≥20米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从公路用地外缘起向外的距离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2921" w:type="dxa"/>
          </w:tcPr>
          <w:p>
            <w:pPr>
              <w:pStyle w:val="46"/>
              <w:spacing w:line="360" w:lineRule="auto"/>
              <w:ind w:left="110" w:leftChars="50" w:right="110" w:rightChars="50" w:firstLine="440" w:firstLineChars="200"/>
              <w:rPr>
                <w:highlight w:val="none"/>
              </w:rPr>
            </w:pPr>
            <w:r>
              <w:rPr>
                <w:highlight w:val="none"/>
              </w:rPr>
              <w:t>省道</w:t>
            </w:r>
          </w:p>
        </w:tc>
        <w:tc>
          <w:tcPr>
            <w:tcW w:w="1673" w:type="dxa"/>
          </w:tcPr>
          <w:p>
            <w:pPr>
              <w:pStyle w:val="46"/>
              <w:spacing w:line="360" w:lineRule="auto"/>
              <w:ind w:left="110" w:leftChars="50" w:right="110" w:rightChars="50" w:firstLine="440" w:firstLineChars="200"/>
              <w:rPr>
                <w:highlight w:val="none"/>
              </w:rPr>
            </w:pPr>
            <w:r>
              <w:rPr>
                <w:highlight w:val="none"/>
              </w:rPr>
              <w:t>≥15米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从公路用地外缘起向外的距离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2921" w:type="dxa"/>
          </w:tcPr>
          <w:p>
            <w:pPr>
              <w:pStyle w:val="46"/>
              <w:spacing w:line="360" w:lineRule="auto"/>
              <w:ind w:left="110" w:leftChars="50" w:right="110" w:rightChars="50" w:firstLine="440" w:firstLineChars="200"/>
              <w:rPr>
                <w:highlight w:val="none"/>
              </w:rPr>
            </w:pPr>
            <w:r>
              <w:rPr>
                <w:highlight w:val="none"/>
              </w:rPr>
              <w:t>县道</w:t>
            </w:r>
          </w:p>
        </w:tc>
        <w:tc>
          <w:tcPr>
            <w:tcW w:w="1673" w:type="dxa"/>
          </w:tcPr>
          <w:p>
            <w:pPr>
              <w:pStyle w:val="46"/>
              <w:spacing w:line="360" w:lineRule="auto"/>
              <w:ind w:left="110" w:leftChars="50" w:right="110" w:rightChars="50" w:firstLine="440" w:firstLineChars="200"/>
              <w:rPr>
                <w:highlight w:val="none"/>
              </w:rPr>
            </w:pPr>
            <w:r>
              <w:rPr>
                <w:highlight w:val="none"/>
              </w:rPr>
              <w:t>≥10米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从公路用地外缘起向外的距离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2921" w:type="dxa"/>
          </w:tcPr>
          <w:p>
            <w:pPr>
              <w:pStyle w:val="46"/>
              <w:spacing w:line="360" w:lineRule="auto"/>
              <w:ind w:left="110" w:leftChars="50" w:right="110" w:rightChars="50" w:firstLine="440" w:firstLineChars="200"/>
              <w:rPr>
                <w:highlight w:val="none"/>
              </w:rPr>
            </w:pPr>
            <w:r>
              <w:rPr>
                <w:highlight w:val="none"/>
              </w:rPr>
              <w:t>乡道</w:t>
            </w:r>
          </w:p>
        </w:tc>
        <w:tc>
          <w:tcPr>
            <w:tcW w:w="1673" w:type="dxa"/>
          </w:tcPr>
          <w:p>
            <w:pPr>
              <w:pStyle w:val="46"/>
              <w:spacing w:line="360" w:lineRule="auto"/>
              <w:ind w:left="110" w:leftChars="50" w:right="110" w:rightChars="50" w:firstLine="440" w:firstLineChars="200"/>
              <w:rPr>
                <w:highlight w:val="none"/>
              </w:rPr>
            </w:pPr>
            <w:r>
              <w:rPr>
                <w:highlight w:val="none"/>
              </w:rPr>
              <w:t>≥5米</w:t>
            </w:r>
          </w:p>
        </w:tc>
        <w:tc>
          <w:tcPr>
            <w:tcW w:w="5144" w:type="dxa"/>
          </w:tcPr>
          <w:p>
            <w:pPr>
              <w:pStyle w:val="46"/>
              <w:spacing w:line="360" w:lineRule="auto"/>
              <w:ind w:left="110" w:leftChars="50" w:right="110" w:rightChars="50" w:firstLine="440" w:firstLineChars="200"/>
              <w:rPr>
                <w:highlight w:val="none"/>
                <w:lang w:eastAsia="zh-CN"/>
              </w:rPr>
            </w:pPr>
            <w:r>
              <w:rPr>
                <w:highlight w:val="none"/>
                <w:lang w:eastAsia="zh-CN"/>
              </w:rPr>
              <w:t>从公路用地外缘起向外的距离</w:t>
            </w:r>
          </w:p>
        </w:tc>
      </w:tr>
    </w:tbl>
    <w:p>
      <w:pPr>
        <w:spacing w:line="360" w:lineRule="auto"/>
        <w:ind w:left="110" w:leftChars="50" w:right="110" w:rightChars="50" w:firstLine="440" w:firstLineChars="200"/>
        <w:rPr>
          <w:highlight w:val="none"/>
          <w:lang w:eastAsia="zh-CN"/>
        </w:rPr>
      </w:pPr>
      <w:r>
        <w:rPr>
          <w:highlight w:val="none"/>
          <w:lang w:eastAsia="zh-CN"/>
        </w:rPr>
        <w:t>注：除满足以上要求外，乡村建筑、围墙等建（构）筑物宜退让村庄内部道路在1米以上且不得侵占村庄消防通道空间，临路方向后退距离如村内有约定的，按照约定退让距离执行。</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四十七</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spacing w:val="-16"/>
          <w:highlight w:val="none"/>
          <w:lang w:eastAsia="zh-CN"/>
        </w:rPr>
        <w:t>沿架空电力线路两侧新建、改建、扩建乡村建筑，其后退线路边导线距离除有关规划和电力主管部门另有规定外，还应满足下表要求</w:t>
      </w:r>
      <w:r>
        <w:rPr>
          <w:spacing w:val="-3"/>
          <w:highlight w:val="none"/>
          <w:lang w:eastAsia="zh-CN"/>
        </w:rPr>
        <w:t>。</w:t>
      </w: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5.2 </w:t>
      </w:r>
      <w:r>
        <w:rPr>
          <w:rFonts w:hint="eastAsia"/>
          <w:sz w:val="28"/>
          <w:szCs w:val="28"/>
          <w:highlight w:val="none"/>
          <w:lang w:val="en-US" w:eastAsia="zh-CN"/>
        </w:rPr>
        <w:t xml:space="preserve"> </w:t>
      </w:r>
      <w:r>
        <w:rPr>
          <w:rFonts w:hint="eastAsia"/>
          <w:sz w:val="28"/>
          <w:szCs w:val="28"/>
          <w:highlight w:val="none"/>
          <w:lang w:eastAsia="zh-CN"/>
        </w:rPr>
        <w:t>建筑退让电力线路距离控制指标表</w:t>
      </w:r>
    </w:p>
    <w:tbl>
      <w:tblPr>
        <w:tblStyle w:val="44"/>
        <w:tblW w:w="9740"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75"/>
        <w:gridCol w:w="58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3875" w:type="dxa"/>
          </w:tcPr>
          <w:p>
            <w:pPr>
              <w:pStyle w:val="46"/>
              <w:spacing w:line="360" w:lineRule="auto"/>
              <w:ind w:left="110" w:leftChars="50" w:right="110" w:rightChars="50" w:firstLine="440" w:firstLineChars="200"/>
              <w:rPr>
                <w:highlight w:val="none"/>
                <w:lang w:eastAsia="zh-CN"/>
              </w:rPr>
            </w:pPr>
            <w:r>
              <w:rPr>
                <w:highlight w:val="none"/>
                <w:lang w:eastAsia="zh-CN"/>
              </w:rPr>
              <w:t>线路电压等级（千伏）</w:t>
            </w:r>
          </w:p>
        </w:tc>
        <w:tc>
          <w:tcPr>
            <w:tcW w:w="5865" w:type="dxa"/>
          </w:tcPr>
          <w:p>
            <w:pPr>
              <w:pStyle w:val="46"/>
              <w:spacing w:line="360" w:lineRule="auto"/>
              <w:ind w:left="110" w:leftChars="50" w:right="110" w:rightChars="50" w:firstLine="440" w:firstLineChars="200"/>
              <w:rPr>
                <w:highlight w:val="none"/>
                <w:lang w:eastAsia="zh-CN"/>
              </w:rPr>
            </w:pPr>
            <w:r>
              <w:rPr>
                <w:highlight w:val="none"/>
                <w:lang w:eastAsia="zh-CN"/>
              </w:rPr>
              <w:t>距架空电力线边导线向外侧水平距离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3875" w:type="dxa"/>
          </w:tcPr>
          <w:p>
            <w:pPr>
              <w:pStyle w:val="46"/>
              <w:spacing w:line="360" w:lineRule="auto"/>
              <w:ind w:left="110" w:leftChars="50" w:right="110" w:rightChars="50" w:firstLine="440" w:firstLineChars="200"/>
              <w:rPr>
                <w:highlight w:val="none"/>
              </w:rPr>
            </w:pPr>
            <w:r>
              <w:rPr>
                <w:highlight w:val="none"/>
              </w:rPr>
              <w:t>1-10</w:t>
            </w:r>
          </w:p>
        </w:tc>
        <w:tc>
          <w:tcPr>
            <w:tcW w:w="5865" w:type="dxa"/>
          </w:tcPr>
          <w:p>
            <w:pPr>
              <w:pStyle w:val="46"/>
              <w:spacing w:line="360" w:lineRule="auto"/>
              <w:ind w:left="110" w:leftChars="50" w:right="110" w:rightChars="50" w:firstLine="440" w:firstLineChars="200"/>
              <w:rPr>
                <w:highlight w:val="none"/>
              </w:rPr>
            </w:pPr>
            <w:r>
              <w:rPr>
                <w:highlight w:val="none"/>
              </w:rPr>
              <w:t>≥5米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3875" w:type="dxa"/>
          </w:tcPr>
          <w:p>
            <w:pPr>
              <w:pStyle w:val="46"/>
              <w:spacing w:line="360" w:lineRule="auto"/>
              <w:ind w:left="110" w:leftChars="50" w:right="110" w:rightChars="50" w:firstLine="440" w:firstLineChars="200"/>
              <w:rPr>
                <w:highlight w:val="none"/>
              </w:rPr>
            </w:pPr>
            <w:r>
              <w:rPr>
                <w:highlight w:val="none"/>
              </w:rPr>
              <w:t>35-110</w:t>
            </w:r>
          </w:p>
        </w:tc>
        <w:tc>
          <w:tcPr>
            <w:tcW w:w="5865" w:type="dxa"/>
          </w:tcPr>
          <w:p>
            <w:pPr>
              <w:pStyle w:val="46"/>
              <w:spacing w:line="360" w:lineRule="auto"/>
              <w:ind w:left="110" w:leftChars="50" w:right="110" w:rightChars="50" w:firstLine="440" w:firstLineChars="200"/>
              <w:rPr>
                <w:highlight w:val="none"/>
              </w:rPr>
            </w:pPr>
            <w:r>
              <w:rPr>
                <w:highlight w:val="none"/>
              </w:rPr>
              <w:t>≥10米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3875" w:type="dxa"/>
          </w:tcPr>
          <w:p>
            <w:pPr>
              <w:pStyle w:val="46"/>
              <w:spacing w:line="360" w:lineRule="auto"/>
              <w:ind w:left="110" w:leftChars="50" w:right="110" w:rightChars="50" w:firstLine="440" w:firstLineChars="200"/>
              <w:rPr>
                <w:highlight w:val="none"/>
              </w:rPr>
            </w:pPr>
            <w:r>
              <w:rPr>
                <w:highlight w:val="none"/>
              </w:rPr>
              <w:t>150-330</w:t>
            </w:r>
          </w:p>
        </w:tc>
        <w:tc>
          <w:tcPr>
            <w:tcW w:w="5865" w:type="dxa"/>
          </w:tcPr>
          <w:p>
            <w:pPr>
              <w:pStyle w:val="46"/>
              <w:spacing w:line="360" w:lineRule="auto"/>
              <w:ind w:left="110" w:leftChars="50" w:right="110" w:rightChars="50" w:firstLine="440" w:firstLineChars="200"/>
              <w:rPr>
                <w:highlight w:val="none"/>
              </w:rPr>
            </w:pPr>
            <w:r>
              <w:rPr>
                <w:highlight w:val="none"/>
              </w:rPr>
              <w:t>≥15米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3875" w:type="dxa"/>
          </w:tcPr>
          <w:p>
            <w:pPr>
              <w:pStyle w:val="46"/>
              <w:spacing w:line="360" w:lineRule="auto"/>
              <w:ind w:left="110" w:leftChars="50" w:right="110" w:rightChars="50" w:firstLine="440" w:firstLineChars="200"/>
              <w:rPr>
                <w:highlight w:val="none"/>
              </w:rPr>
            </w:pPr>
            <w:r>
              <w:rPr>
                <w:highlight w:val="none"/>
              </w:rPr>
              <w:t>500</w:t>
            </w:r>
          </w:p>
        </w:tc>
        <w:tc>
          <w:tcPr>
            <w:tcW w:w="5865" w:type="dxa"/>
          </w:tcPr>
          <w:p>
            <w:pPr>
              <w:pStyle w:val="46"/>
              <w:spacing w:line="360" w:lineRule="auto"/>
              <w:ind w:left="110" w:leftChars="50" w:right="110" w:rightChars="50" w:firstLine="440" w:firstLineChars="200"/>
              <w:rPr>
                <w:highlight w:val="none"/>
              </w:rPr>
            </w:pPr>
            <w:r>
              <w:rPr>
                <w:highlight w:val="none"/>
              </w:rPr>
              <w:t>≥20米</w:t>
            </w:r>
          </w:p>
        </w:tc>
      </w:tr>
    </w:tbl>
    <w:p>
      <w:pPr>
        <w:spacing w:line="360" w:lineRule="auto"/>
        <w:ind w:left="110" w:leftChars="50" w:right="110" w:rightChars="50" w:firstLine="440" w:firstLineChars="200"/>
        <w:rPr>
          <w:rFonts w:hint="eastAsia"/>
          <w:highlight w:val="none"/>
          <w:lang w:eastAsia="zh-CN"/>
        </w:rPr>
      </w:pPr>
      <w:bookmarkStart w:id="27" w:name="_Hlk214542107"/>
      <w:r>
        <w:rPr>
          <w:rFonts w:hint="eastAsia"/>
          <w:highlight w:val="none"/>
          <w:lang w:eastAsia="zh-CN"/>
        </w:rPr>
        <w:t>注：</w:t>
      </w:r>
      <w:bookmarkStart w:id="28" w:name="_Hlk214373725"/>
      <w:r>
        <w:rPr>
          <w:rFonts w:hint="eastAsia"/>
          <w:highlight w:val="none"/>
          <w:lang w:val="en-US" w:eastAsia="zh-CN"/>
        </w:rPr>
        <w:t>依据</w:t>
      </w:r>
      <w:r>
        <w:rPr>
          <w:highlight w:val="none"/>
          <w:lang w:eastAsia="zh-CN"/>
        </w:rPr>
        <w:t>《电力设施保护条例》</w:t>
      </w:r>
      <w:bookmarkEnd w:id="27"/>
      <w:bookmarkEnd w:id="28"/>
      <w:r>
        <w:rPr>
          <w:rFonts w:hint="eastAsia"/>
          <w:highlight w:val="none"/>
          <w:lang w:eastAsia="zh-CN"/>
        </w:rPr>
        <w:t>。</w:t>
      </w:r>
    </w:p>
    <w:p>
      <w:pPr>
        <w:pStyle w:val="12"/>
        <w:spacing w:line="360" w:lineRule="auto"/>
        <w:ind w:left="110" w:leftChars="50" w:right="110" w:rightChars="50" w:firstLine="560" w:firstLineChars="200"/>
        <w:rPr>
          <w:spacing w:val="-3"/>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四十八</w:t>
      </w:r>
      <w:r>
        <w:rPr>
          <w:rFonts w:hint="eastAsia" w:ascii="微软雅黑" w:hAnsi="微软雅黑" w:eastAsia="微软雅黑"/>
          <w:b/>
          <w:highlight w:val="none"/>
          <w:lang w:eastAsia="zh-CN"/>
        </w:rPr>
        <w:t xml:space="preserve">条 </w:t>
      </w:r>
      <w:r>
        <w:rPr>
          <w:rFonts w:hint="eastAsia"/>
          <w:spacing w:val="-10"/>
          <w:highlight w:val="none"/>
          <w:lang w:eastAsia="zh-CN"/>
        </w:rPr>
        <w:t>河道两岸控制范围，有堤防（护岸）的，在堤防管理范围内不允许建房，无堤防或无防洪规划的河道，在河道管理范围内不允许建房，堤防管理范围及河道管理范围均以政府部门实际划定并公示的为准。如无划定，则应满足下表要求</w:t>
      </w:r>
      <w:r>
        <w:rPr>
          <w:spacing w:val="-3"/>
          <w:highlight w:val="none"/>
          <w:lang w:eastAsia="zh-CN"/>
        </w:rPr>
        <w:t>。</w:t>
      </w:r>
    </w:p>
    <w:p>
      <w:pPr>
        <w:pStyle w:val="12"/>
        <w:spacing w:line="360" w:lineRule="auto"/>
        <w:ind w:left="110" w:leftChars="50" w:right="110" w:rightChars="50" w:firstLine="548" w:firstLineChars="200"/>
        <w:rPr>
          <w:spacing w:val="-3"/>
          <w:highlight w:val="none"/>
          <w:lang w:eastAsia="zh-CN"/>
        </w:rPr>
      </w:pP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5.3 </w:t>
      </w:r>
      <w:r>
        <w:rPr>
          <w:rFonts w:hint="eastAsia"/>
          <w:sz w:val="28"/>
          <w:szCs w:val="28"/>
          <w:highlight w:val="none"/>
          <w:lang w:val="en-US" w:eastAsia="zh-CN"/>
        </w:rPr>
        <w:t xml:space="preserve"> </w:t>
      </w:r>
      <w:r>
        <w:rPr>
          <w:rFonts w:hint="eastAsia"/>
          <w:sz w:val="28"/>
          <w:szCs w:val="28"/>
          <w:highlight w:val="none"/>
          <w:lang w:eastAsia="zh-CN"/>
        </w:rPr>
        <w:t>河道管理范围控制指标表</w:t>
      </w:r>
    </w:p>
    <w:tbl>
      <w:tblPr>
        <w:tblStyle w:val="44"/>
        <w:tblW w:w="9737"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845"/>
        <w:gridCol w:w="7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2690" w:type="dxa"/>
            <w:gridSpan w:val="2"/>
            <w:vAlign w:val="center"/>
          </w:tcPr>
          <w:p>
            <w:pPr>
              <w:pStyle w:val="46"/>
              <w:spacing w:line="360" w:lineRule="auto"/>
              <w:ind w:left="110" w:leftChars="50" w:right="110" w:rightChars="50"/>
              <w:jc w:val="center"/>
              <w:rPr>
                <w:highlight w:val="none"/>
              </w:rPr>
            </w:pPr>
            <w:r>
              <w:rPr>
                <w:highlight w:val="none"/>
              </w:rPr>
              <w:t>河道类型</w:t>
            </w:r>
          </w:p>
        </w:tc>
        <w:tc>
          <w:tcPr>
            <w:tcW w:w="7047" w:type="dxa"/>
            <w:vAlign w:val="center"/>
          </w:tcPr>
          <w:p>
            <w:pPr>
              <w:pStyle w:val="46"/>
              <w:spacing w:line="360" w:lineRule="auto"/>
              <w:ind w:left="110" w:leftChars="50" w:right="110" w:rightChars="50"/>
              <w:jc w:val="center"/>
              <w:rPr>
                <w:highlight w:val="none"/>
              </w:rPr>
            </w:pPr>
            <w:r>
              <w:rPr>
                <w:highlight w:val="none"/>
              </w:rPr>
              <w:t>管理范围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845" w:type="dxa"/>
            <w:vMerge w:val="restart"/>
            <w:vAlign w:val="center"/>
          </w:tcPr>
          <w:p>
            <w:pPr>
              <w:pStyle w:val="46"/>
              <w:spacing w:line="360" w:lineRule="auto"/>
              <w:ind w:left="110" w:leftChars="50" w:right="110" w:rightChars="50"/>
              <w:jc w:val="center"/>
              <w:rPr>
                <w:highlight w:val="none"/>
              </w:rPr>
            </w:pPr>
            <w:r>
              <w:rPr>
                <w:highlight w:val="none"/>
              </w:rPr>
              <w:t>有堤防的河道</w:t>
            </w:r>
          </w:p>
        </w:tc>
        <w:tc>
          <w:tcPr>
            <w:tcW w:w="1845" w:type="dxa"/>
            <w:vAlign w:val="center"/>
          </w:tcPr>
          <w:p>
            <w:pPr>
              <w:pStyle w:val="46"/>
              <w:spacing w:line="360" w:lineRule="auto"/>
              <w:ind w:left="110" w:leftChars="50" w:right="110" w:rightChars="50"/>
              <w:jc w:val="center"/>
              <w:rPr>
                <w:highlight w:val="none"/>
              </w:rPr>
            </w:pPr>
            <w:r>
              <w:rPr>
                <w:highlight w:val="none"/>
              </w:rPr>
              <w:t>一、二级堤防</w:t>
            </w:r>
          </w:p>
        </w:tc>
        <w:tc>
          <w:tcPr>
            <w:tcW w:w="7047" w:type="dxa"/>
            <w:vAlign w:val="center"/>
          </w:tcPr>
          <w:p>
            <w:pPr>
              <w:pStyle w:val="46"/>
              <w:spacing w:line="360" w:lineRule="auto"/>
              <w:ind w:left="110" w:leftChars="50" w:right="110" w:rightChars="50"/>
              <w:jc w:val="center"/>
              <w:rPr>
                <w:highlight w:val="none"/>
                <w:lang w:eastAsia="zh-CN"/>
              </w:rPr>
            </w:pPr>
            <w:r>
              <w:rPr>
                <w:highlight w:val="none"/>
                <w:lang w:eastAsia="zh-CN"/>
              </w:rPr>
              <w:t>堤防迎、背水坡脚以外20至50米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trPr>
        <w:tc>
          <w:tcPr>
            <w:tcW w:w="845" w:type="dxa"/>
            <w:vMerge w:val="continue"/>
            <w:tcBorders>
              <w:top w:val="nil"/>
            </w:tcBorders>
            <w:vAlign w:val="center"/>
          </w:tcPr>
          <w:p>
            <w:pPr>
              <w:spacing w:line="360" w:lineRule="auto"/>
              <w:ind w:left="110" w:leftChars="50" w:right="110" w:rightChars="50"/>
              <w:jc w:val="center"/>
              <w:rPr>
                <w:highlight w:val="none"/>
                <w:lang w:eastAsia="zh-CN"/>
              </w:rPr>
            </w:pPr>
          </w:p>
        </w:tc>
        <w:tc>
          <w:tcPr>
            <w:tcW w:w="1845" w:type="dxa"/>
            <w:vAlign w:val="center"/>
          </w:tcPr>
          <w:p>
            <w:pPr>
              <w:pStyle w:val="46"/>
              <w:spacing w:line="360" w:lineRule="auto"/>
              <w:ind w:left="110" w:leftChars="50" w:right="110" w:rightChars="50"/>
              <w:jc w:val="center"/>
              <w:rPr>
                <w:highlight w:val="none"/>
              </w:rPr>
            </w:pPr>
            <w:r>
              <w:rPr>
                <w:highlight w:val="none"/>
              </w:rPr>
              <w:t>三、四级堤防</w:t>
            </w:r>
          </w:p>
        </w:tc>
        <w:tc>
          <w:tcPr>
            <w:tcW w:w="7047" w:type="dxa"/>
            <w:vAlign w:val="center"/>
          </w:tcPr>
          <w:p>
            <w:pPr>
              <w:pStyle w:val="46"/>
              <w:spacing w:line="360" w:lineRule="auto"/>
              <w:ind w:left="110" w:leftChars="50" w:right="110" w:rightChars="50"/>
              <w:jc w:val="center"/>
              <w:rPr>
                <w:highlight w:val="none"/>
                <w:lang w:eastAsia="zh-CN"/>
              </w:rPr>
            </w:pPr>
            <w:r>
              <w:rPr>
                <w:highlight w:val="none"/>
                <w:lang w:eastAsia="zh-CN"/>
              </w:rPr>
              <w:t>堤防迎、背水坡脚以外15至30米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845" w:type="dxa"/>
            <w:vMerge w:val="continue"/>
            <w:tcBorders>
              <w:top w:val="nil"/>
            </w:tcBorders>
            <w:vAlign w:val="center"/>
          </w:tcPr>
          <w:p>
            <w:pPr>
              <w:spacing w:line="360" w:lineRule="auto"/>
              <w:ind w:left="110" w:leftChars="50" w:right="110" w:rightChars="50"/>
              <w:jc w:val="center"/>
              <w:rPr>
                <w:highlight w:val="none"/>
                <w:lang w:eastAsia="zh-CN"/>
              </w:rPr>
            </w:pPr>
          </w:p>
        </w:tc>
        <w:tc>
          <w:tcPr>
            <w:tcW w:w="1845" w:type="dxa"/>
            <w:vAlign w:val="center"/>
          </w:tcPr>
          <w:p>
            <w:pPr>
              <w:pStyle w:val="46"/>
              <w:spacing w:line="360" w:lineRule="auto"/>
              <w:ind w:left="110" w:leftChars="50" w:right="110" w:rightChars="50"/>
              <w:jc w:val="center"/>
              <w:rPr>
                <w:highlight w:val="none"/>
              </w:rPr>
            </w:pPr>
            <w:r>
              <w:rPr>
                <w:highlight w:val="none"/>
              </w:rPr>
              <w:t>四级以下堤防</w:t>
            </w:r>
          </w:p>
        </w:tc>
        <w:tc>
          <w:tcPr>
            <w:tcW w:w="7047" w:type="dxa"/>
            <w:vAlign w:val="center"/>
          </w:tcPr>
          <w:p>
            <w:pPr>
              <w:pStyle w:val="46"/>
              <w:spacing w:line="360" w:lineRule="auto"/>
              <w:ind w:left="110" w:leftChars="50" w:right="110" w:rightChars="50"/>
              <w:jc w:val="center"/>
              <w:rPr>
                <w:highlight w:val="none"/>
                <w:lang w:eastAsia="zh-CN"/>
              </w:rPr>
            </w:pPr>
            <w:r>
              <w:rPr>
                <w:highlight w:val="none"/>
                <w:lang w:eastAsia="zh-CN"/>
              </w:rPr>
              <w:t>堤防迎、背水坡脚以外8至15米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690" w:type="dxa"/>
            <w:gridSpan w:val="2"/>
            <w:vAlign w:val="center"/>
          </w:tcPr>
          <w:p>
            <w:pPr>
              <w:pStyle w:val="46"/>
              <w:spacing w:line="360" w:lineRule="auto"/>
              <w:ind w:left="110" w:leftChars="50" w:right="110" w:rightChars="50"/>
              <w:jc w:val="center"/>
              <w:rPr>
                <w:highlight w:val="none"/>
              </w:rPr>
            </w:pPr>
            <w:r>
              <w:rPr>
                <w:highlight w:val="none"/>
              </w:rPr>
              <w:t>无堤防的河道</w:t>
            </w:r>
          </w:p>
        </w:tc>
        <w:tc>
          <w:tcPr>
            <w:tcW w:w="7047" w:type="dxa"/>
            <w:vAlign w:val="center"/>
          </w:tcPr>
          <w:p>
            <w:pPr>
              <w:pStyle w:val="46"/>
              <w:spacing w:line="360" w:lineRule="auto"/>
              <w:ind w:left="110" w:leftChars="50" w:right="110" w:rightChars="50"/>
              <w:jc w:val="center"/>
              <w:rPr>
                <w:highlight w:val="none"/>
                <w:lang w:eastAsia="zh-CN"/>
              </w:rPr>
            </w:pPr>
            <w:r>
              <w:rPr>
                <w:highlight w:val="none"/>
                <w:lang w:eastAsia="zh-CN"/>
              </w:rPr>
              <w:t>按防洪规划确定的河道岸线、治导线或者规划两岸堤防走线之间的行洪区域、堤基地和护堤地确定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2690" w:type="dxa"/>
            <w:gridSpan w:val="2"/>
            <w:vAlign w:val="center"/>
          </w:tcPr>
          <w:p>
            <w:pPr>
              <w:pStyle w:val="46"/>
              <w:spacing w:line="360" w:lineRule="auto"/>
              <w:ind w:left="110" w:leftChars="50" w:right="110" w:rightChars="50"/>
              <w:jc w:val="center"/>
              <w:rPr>
                <w:highlight w:val="none"/>
              </w:rPr>
            </w:pPr>
            <w:r>
              <w:rPr>
                <w:highlight w:val="none"/>
              </w:rPr>
              <w:t>无防洪规划的河道</w:t>
            </w:r>
          </w:p>
        </w:tc>
        <w:tc>
          <w:tcPr>
            <w:tcW w:w="7047" w:type="dxa"/>
            <w:vAlign w:val="center"/>
          </w:tcPr>
          <w:p>
            <w:pPr>
              <w:pStyle w:val="46"/>
              <w:spacing w:line="360" w:lineRule="auto"/>
              <w:ind w:left="110" w:leftChars="50" w:right="110" w:rightChars="50"/>
              <w:jc w:val="center"/>
              <w:rPr>
                <w:highlight w:val="none"/>
                <w:lang w:eastAsia="zh-CN"/>
              </w:rPr>
            </w:pPr>
            <w:r>
              <w:rPr>
                <w:highlight w:val="none"/>
                <w:lang w:eastAsia="zh-CN"/>
              </w:rPr>
              <w:t>按历史最高洪水位或者设计洪水位之间的行洪河床确定。可以将河道管理范围以外的相连地域30至50米划定为堤防安全保护区</w:t>
            </w:r>
          </w:p>
        </w:tc>
      </w:tr>
    </w:tbl>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四十九</w:t>
      </w:r>
      <w:r>
        <w:rPr>
          <w:rFonts w:hint="eastAsia" w:ascii="微软雅黑" w:hAnsi="微软雅黑" w:eastAsia="微软雅黑"/>
          <w:b/>
          <w:highlight w:val="none"/>
          <w:lang w:eastAsia="zh-CN"/>
        </w:rPr>
        <w:t xml:space="preserve">条 </w:t>
      </w:r>
      <w:r>
        <w:rPr>
          <w:rFonts w:hint="eastAsia"/>
          <w:spacing w:val="-15"/>
          <w:highlight w:val="none"/>
          <w:lang w:eastAsia="zh-CN"/>
        </w:rPr>
        <w:t>水库库区管理范围、保护范围、堤防安全保护区不得建房。水库库区校核洪水位以下（包括库内岛屿），坝首两端、下游坝脚及溢洪道两侧各50米至150米为管理范围；管理范围以外150米至300米为保护范围。</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第五十条</w:t>
      </w:r>
      <w:r>
        <w:rPr>
          <w:rFonts w:hint="eastAsia" w:ascii="微软雅黑" w:hAnsi="微软雅黑" w:eastAsia="微软雅黑"/>
          <w:b/>
          <w:highlight w:val="none"/>
          <w:lang w:val="en-US" w:eastAsia="zh-CN"/>
        </w:rPr>
        <w:t xml:space="preserve"> </w:t>
      </w:r>
      <w:r>
        <w:rPr>
          <w:rFonts w:hint="eastAsia"/>
          <w:spacing w:val="-15"/>
          <w:highlight w:val="none"/>
          <w:lang w:eastAsia="zh-CN"/>
        </w:rPr>
        <w:t>渠道管理范围、保护范围、堤防安全保护区不得建房。渠道左右外边坡脚线之间为管理范围；渠道经过山地的，渠堤外坡脚以外各10米至30米为保护范围；渠道经过耕作区的，渠堤外坡脚以外各3米至5米为保护范围。</w:t>
      </w:r>
    </w:p>
    <w:p>
      <w:pPr>
        <w:pStyle w:val="12"/>
        <w:tabs>
          <w:tab w:val="left" w:pos="2200"/>
        </w:tabs>
        <w:spacing w:line="360" w:lineRule="auto"/>
        <w:ind w:left="110" w:leftChars="50" w:right="110" w:rightChars="50" w:firstLine="560" w:firstLineChars="200"/>
        <w:rPr>
          <w:rFonts w:hint="eastAsia"/>
          <w:highlight w:val="none"/>
          <w:lang w:eastAsia="zh-CN"/>
        </w:rPr>
      </w:pPr>
      <w:r>
        <w:rPr>
          <w:rFonts w:hint="eastAsia" w:ascii="微软雅黑" w:hAnsi="微软雅黑" w:eastAsia="微软雅黑"/>
          <w:b/>
          <w:highlight w:val="none"/>
          <w:lang w:eastAsia="zh-CN"/>
        </w:rPr>
        <w:t>第五十</w:t>
      </w:r>
      <w:r>
        <w:rPr>
          <w:rFonts w:hint="eastAsia" w:ascii="微软雅黑" w:hAnsi="微软雅黑" w:eastAsia="微软雅黑"/>
          <w:b/>
          <w:highlight w:val="none"/>
          <w:lang w:val="en-US" w:eastAsia="zh-CN"/>
        </w:rPr>
        <w:t>一</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退让历史文化保护线应按照历史文化保护规划等有关规定要求执行。</w:t>
      </w:r>
    </w:p>
    <w:p>
      <w:pPr>
        <w:pStyle w:val="12"/>
        <w:tabs>
          <w:tab w:val="left" w:pos="2200"/>
        </w:tabs>
        <w:spacing w:line="360" w:lineRule="auto"/>
        <w:ind w:left="110" w:leftChars="50" w:right="110" w:rightChars="50" w:firstLine="560" w:firstLineChars="200"/>
        <w:rPr>
          <w:rFonts w:hint="eastAsia"/>
          <w:highlight w:val="none"/>
          <w:lang w:eastAsia="zh-CN"/>
        </w:rPr>
      </w:pPr>
    </w:p>
    <w:p>
      <w:pPr>
        <w:pStyle w:val="12"/>
        <w:tabs>
          <w:tab w:val="left" w:pos="2200"/>
        </w:tabs>
        <w:spacing w:line="360" w:lineRule="auto"/>
        <w:ind w:left="110" w:leftChars="50" w:right="110" w:rightChars="50" w:firstLine="560" w:firstLineChars="200"/>
        <w:rPr>
          <w:rFonts w:hint="eastAsia"/>
          <w:highlight w:val="none"/>
          <w:lang w:eastAsia="zh-CN"/>
        </w:rPr>
        <w:sectPr>
          <w:pgSz w:w="11910" w:h="16840"/>
          <w:pgMar w:top="1480" w:right="680" w:bottom="1247" w:left="981"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29" w:name="_bookmark19"/>
      <w:bookmarkEnd w:id="29"/>
      <w:r>
        <w:rPr>
          <w:rFonts w:ascii="微软雅黑" w:hAnsi="微软雅黑" w:eastAsia="微软雅黑" w:cs="微软雅黑"/>
          <w:b/>
          <w:bCs/>
          <w:color w:val="auto"/>
          <w:sz w:val="30"/>
          <w:szCs w:val="30"/>
          <w:highlight w:val="none"/>
          <w:lang w:eastAsia="zh-CN"/>
        </w:rPr>
        <w:t>第三节 建筑间距</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第五十</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 xml:space="preserve">条 </w:t>
      </w:r>
      <w:r>
        <w:rPr>
          <w:rFonts w:hint="eastAsia"/>
          <w:spacing w:val="-17"/>
          <w:highlight w:val="none"/>
          <w:lang w:eastAsia="zh-CN"/>
        </w:rPr>
        <w:t>建筑间距应不妨害相邻权、地役权，应保证相邻房屋的正常采光和通行要求，应符合《农村防火规范》（GB50039）的规定</w:t>
      </w:r>
      <w:r>
        <w:rPr>
          <w:spacing w:val="-2"/>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第五十</w:t>
      </w:r>
      <w:r>
        <w:rPr>
          <w:rFonts w:hint="eastAsia" w:ascii="微软雅黑" w:hAnsi="微软雅黑" w:eastAsia="微软雅黑"/>
          <w:b/>
          <w:highlight w:val="none"/>
          <w:lang w:val="en-US" w:eastAsia="zh-CN"/>
        </w:rPr>
        <w:t>三</w:t>
      </w:r>
      <w:r>
        <w:rPr>
          <w:rFonts w:hint="eastAsia" w:ascii="微软雅黑" w:hAnsi="微软雅黑" w:eastAsia="微软雅黑"/>
          <w:b/>
          <w:highlight w:val="none"/>
          <w:lang w:eastAsia="zh-CN"/>
        </w:rPr>
        <w:t xml:space="preserve">条 </w:t>
      </w:r>
      <w:r>
        <w:rPr>
          <w:rFonts w:hint="eastAsia"/>
          <w:highlight w:val="none"/>
          <w:lang w:eastAsia="zh-CN"/>
        </w:rPr>
        <w:t>乡村厂房、仓库、公共建筑和建筑高度超过15米的居住建筑的建筑退让间距应执行国家标准《建筑设计防火规范》（GB50016）的规定</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第五十</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 xml:space="preserve">条 </w:t>
      </w:r>
      <w:r>
        <w:rPr>
          <w:rFonts w:hint="eastAsia"/>
          <w:spacing w:val="-15"/>
          <w:highlight w:val="none"/>
          <w:lang w:eastAsia="zh-CN"/>
        </w:rPr>
        <w:t>乡村建筑的耐火等级不宜低于一、二级，建筑耐火等级的划分应符合现行国家标准《建筑设计防火规范》（GB50016）的规定</w:t>
      </w:r>
      <w:r>
        <w:rPr>
          <w:highlight w:val="none"/>
          <w:lang w:eastAsia="zh-CN"/>
        </w:rPr>
        <w:t>。</w:t>
      </w:r>
    </w:p>
    <w:p>
      <w:pPr>
        <w:pStyle w:val="12"/>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r>
        <w:rPr>
          <w:rFonts w:hint="eastAsia" w:ascii="微软雅黑" w:hAnsi="微软雅黑" w:eastAsia="微软雅黑"/>
          <w:b/>
          <w:highlight w:val="none"/>
          <w:lang w:eastAsia="zh-CN"/>
        </w:rPr>
        <w:t>第五十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 xml:space="preserve">条 </w:t>
      </w:r>
      <w:r>
        <w:rPr>
          <w:rFonts w:hint="eastAsia"/>
          <w:highlight w:val="none"/>
          <w:lang w:eastAsia="zh-CN"/>
        </w:rPr>
        <w:t>一、二级耐火等级建筑之间或与其他耐火等级建筑之间的防火间距不宜小于4米；三、四级耐火等级建筑之间的防火间距不宜小于6米</w:t>
      </w:r>
      <w:r>
        <w:rPr>
          <w:highlight w:val="none"/>
          <w:lang w:eastAsia="zh-CN"/>
        </w:rPr>
        <w:t>。</w:t>
      </w: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30" w:name="_bookmark20"/>
      <w:bookmarkEnd w:id="30"/>
      <w:r>
        <w:rPr>
          <w:rFonts w:ascii="微软雅黑" w:hAnsi="微软雅黑" w:eastAsia="微软雅黑" w:cs="微软雅黑"/>
          <w:b/>
          <w:bCs/>
          <w:color w:val="auto"/>
          <w:sz w:val="30"/>
          <w:szCs w:val="30"/>
          <w:highlight w:val="none"/>
          <w:lang w:eastAsia="zh-CN"/>
        </w:rPr>
        <w:t>第四节 建筑高度</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五十六</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spacing w:val="-15"/>
          <w:highlight w:val="none"/>
          <w:lang w:eastAsia="zh-CN"/>
        </w:rPr>
        <w:t>乡村建筑高度除必须满足消防、安全、通风、日照等要求外，还应根据建筑物所在地区的实际情况来控制建筑高度</w:t>
      </w:r>
      <w:r>
        <w:rPr>
          <w:spacing w:val="-8"/>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五十七</w:t>
      </w:r>
      <w:r>
        <w:rPr>
          <w:rFonts w:hint="eastAsia" w:ascii="微软雅黑" w:hAnsi="微软雅黑" w:eastAsia="微软雅黑"/>
          <w:b/>
          <w:highlight w:val="none"/>
          <w:lang w:eastAsia="zh-CN"/>
        </w:rPr>
        <w:t xml:space="preserve">条 </w:t>
      </w:r>
      <w:r>
        <w:rPr>
          <w:rFonts w:hint="eastAsia"/>
          <w:highlight w:val="none"/>
          <w:lang w:eastAsia="zh-CN"/>
        </w:rPr>
        <w:t>在文物保护单位和历史文化名村、传统村落等具有历史文化意义的地区或建筑周围进行建设的，必须符合相应的保护条例，应符合保护规划规定的高度控制要求</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五十八</w:t>
      </w:r>
      <w:r>
        <w:rPr>
          <w:rFonts w:hint="eastAsia" w:ascii="微软雅黑" w:hAnsi="微软雅黑" w:eastAsia="微软雅黑"/>
          <w:b/>
          <w:highlight w:val="none"/>
          <w:lang w:eastAsia="zh-CN"/>
        </w:rPr>
        <w:t xml:space="preserve">条 </w:t>
      </w:r>
      <w:r>
        <w:rPr>
          <w:rFonts w:hint="eastAsia"/>
          <w:highlight w:val="none"/>
          <w:lang w:eastAsia="zh-CN"/>
        </w:rPr>
        <w:t>在自然保护区和重要的生态环境地区周围进行建设的，应符合相应的保护条例、保护规划的规定的高度控制要求</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五十九</w:t>
      </w:r>
      <w:r>
        <w:rPr>
          <w:rFonts w:hint="eastAsia" w:ascii="微软雅黑" w:hAnsi="微软雅黑" w:eastAsia="微软雅黑"/>
          <w:b/>
          <w:highlight w:val="none"/>
          <w:lang w:eastAsia="zh-CN"/>
        </w:rPr>
        <w:t xml:space="preserve">条 </w:t>
      </w:r>
      <w:r>
        <w:rPr>
          <w:rFonts w:hint="eastAsia"/>
          <w:highlight w:val="none"/>
          <w:lang w:eastAsia="zh-CN"/>
        </w:rPr>
        <w:t>在重要的城市景观环境地区周围进行建设的，还应满足城市设计的高度控制要求</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第六十条</w:t>
      </w:r>
      <w:r>
        <w:rPr>
          <w:rFonts w:hint="eastAsia"/>
          <w:spacing w:val="-5"/>
          <w:highlight w:val="none"/>
          <w:lang w:eastAsia="zh-CN"/>
        </w:rPr>
        <w:t>农村新建住宅建筑层数应严格控制在3层以内，房屋首层建筑高度原则上不大于4m，第二、三层建筑高度不大于3.2m，建筑总高度不能超过</w:t>
      </w:r>
      <w:r>
        <w:rPr>
          <w:highlight w:val="none"/>
          <w:lang w:eastAsia="zh-CN"/>
        </w:rPr>
        <w:t>10.4</w:t>
      </w:r>
      <w:r>
        <w:rPr>
          <w:rFonts w:hint="eastAsia"/>
          <w:highlight w:val="none"/>
          <w:lang w:eastAsia="zh-CN"/>
        </w:rPr>
        <w:t>米（</w:t>
      </w:r>
      <w:r>
        <w:rPr>
          <w:rFonts w:hint="eastAsia"/>
          <w:spacing w:val="-5"/>
          <w:highlight w:val="none"/>
          <w:lang w:eastAsia="zh-CN"/>
        </w:rPr>
        <w:t>至屋面檐口</w:t>
      </w:r>
      <w:r>
        <w:rPr>
          <w:rFonts w:hint="eastAsia"/>
          <w:highlight w:val="none"/>
          <w:lang w:eastAsia="zh-CN"/>
        </w:rPr>
        <w:t>）</w:t>
      </w:r>
      <w:r>
        <w:rPr>
          <w:rFonts w:hint="eastAsia"/>
          <w:spacing w:val="-5"/>
          <w:highlight w:val="none"/>
          <w:lang w:eastAsia="zh-CN"/>
        </w:rPr>
        <w:t>，建筑高度均以室外地坪（±0.000）标高起计。建筑屋面构造形式采用全坡屋面或半坡屋面形式。其他相关事宜参照《柳州市农村农民建房“一件事”办事指南》、鱼峰区农村宅基地审批和建房管理工作实施的相关规定等</w:t>
      </w:r>
      <w:r>
        <w:rPr>
          <w:spacing w:val="-1"/>
          <w:highlight w:val="none"/>
          <w:lang w:eastAsia="zh-CN"/>
        </w:rPr>
        <w:t>。</w:t>
      </w:r>
    </w:p>
    <w:p>
      <w:pPr>
        <w:pStyle w:val="12"/>
        <w:tabs>
          <w:tab w:val="left" w:pos="2200"/>
        </w:tabs>
        <w:spacing w:line="360" w:lineRule="auto"/>
        <w:ind w:left="110" w:leftChars="50" w:right="110" w:rightChars="50" w:firstLine="560" w:firstLineChars="200"/>
        <w:rPr>
          <w:rFonts w:ascii="微软雅黑" w:hAnsi="微软雅黑" w:eastAsia="微软雅黑"/>
          <w:b/>
          <w:highlight w:val="none"/>
          <w:lang w:eastAsia="zh-CN"/>
        </w:rPr>
      </w:pPr>
      <w:r>
        <w:rPr>
          <w:rFonts w:hint="eastAsia" w:ascii="微软雅黑" w:hAnsi="微软雅黑" w:eastAsia="微软雅黑"/>
          <w:b/>
          <w:highlight w:val="none"/>
          <w:lang w:eastAsia="zh-CN"/>
        </w:rPr>
        <w:t>第六十</w:t>
      </w:r>
      <w:r>
        <w:rPr>
          <w:rFonts w:hint="eastAsia" w:ascii="微软雅黑" w:hAnsi="微软雅黑" w:eastAsia="微软雅黑"/>
          <w:b/>
          <w:highlight w:val="none"/>
          <w:lang w:val="en-US" w:eastAsia="zh-CN"/>
        </w:rPr>
        <w:t>一</w:t>
      </w:r>
      <w:r>
        <w:rPr>
          <w:rFonts w:hint="eastAsia" w:ascii="微软雅黑" w:hAnsi="微软雅黑" w:eastAsia="微软雅黑"/>
          <w:b/>
          <w:highlight w:val="none"/>
          <w:lang w:eastAsia="zh-CN"/>
        </w:rPr>
        <w:t xml:space="preserve">条 </w:t>
      </w:r>
      <w:r>
        <w:rPr>
          <w:rFonts w:hint="eastAsia"/>
          <w:spacing w:val="-5"/>
          <w:highlight w:val="none"/>
          <w:lang w:eastAsia="zh-CN"/>
        </w:rPr>
        <w:t>农村公共服务设施建筑高度应符合以下规定：</w:t>
      </w:r>
    </w:p>
    <w:p>
      <w:pPr>
        <w:pStyle w:val="12"/>
        <w:tabs>
          <w:tab w:val="left" w:pos="2200"/>
        </w:tabs>
        <w:spacing w:line="360" w:lineRule="auto"/>
        <w:ind w:left="110" w:leftChars="50" w:right="110" w:rightChars="50" w:firstLine="560" w:firstLineChars="200"/>
        <w:rPr>
          <w:highlight w:val="none"/>
          <w:lang w:eastAsia="zh-CN"/>
        </w:rPr>
      </w:pPr>
      <w:r>
        <w:rPr>
          <w:rFonts w:hint="eastAsia"/>
          <w:highlight w:val="none"/>
          <w:lang w:eastAsia="zh-CN"/>
        </w:rPr>
        <w:t>（一）村级公共服务中心建筑按照审查通过的建设工程设计方案确定的建筑高度执行。</w:t>
      </w:r>
    </w:p>
    <w:p>
      <w:pPr>
        <w:pStyle w:val="12"/>
        <w:tabs>
          <w:tab w:val="left" w:pos="2200"/>
        </w:tabs>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r>
        <w:rPr>
          <w:rFonts w:hint="eastAsia"/>
          <w:highlight w:val="none"/>
          <w:lang w:eastAsia="zh-CN"/>
        </w:rPr>
        <w:t>（二）农村小学的主要教学用房不应设在四层以上；农村幼儿园生活用房应布置在三层及以下。</w:t>
      </w: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31" w:name="_bookmark21"/>
      <w:bookmarkEnd w:id="31"/>
      <w:r>
        <w:rPr>
          <w:rFonts w:ascii="微软雅黑" w:hAnsi="微软雅黑" w:eastAsia="微软雅黑" w:cs="微软雅黑"/>
          <w:b/>
          <w:bCs/>
          <w:color w:val="auto"/>
          <w:sz w:val="30"/>
          <w:szCs w:val="30"/>
          <w:highlight w:val="none"/>
          <w:lang w:eastAsia="zh-CN"/>
        </w:rPr>
        <w:t>第五节 建设指标</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第六十</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 xml:space="preserve">条 </w:t>
      </w:r>
      <w:r>
        <w:rPr>
          <w:rFonts w:hint="eastAsia"/>
          <w:spacing w:val="-16"/>
          <w:highlight w:val="none"/>
          <w:lang w:eastAsia="zh-CN"/>
        </w:rPr>
        <w:t>村民住房、乡村公共服务设施、市政公用设施、乡村产业等各类乡村建设用地的开发建设指标控制可参照下表执行</w:t>
      </w:r>
      <w:r>
        <w:rPr>
          <w:spacing w:val="-3"/>
          <w:highlight w:val="none"/>
          <w:lang w:eastAsia="zh-CN"/>
        </w:rPr>
        <w:t>。</w:t>
      </w:r>
    </w:p>
    <w:p>
      <w:pPr>
        <w:spacing w:line="360" w:lineRule="auto"/>
        <w:ind w:left="110" w:leftChars="50" w:right="110" w:rightChars="50" w:firstLine="560" w:firstLineChars="200"/>
        <w:jc w:val="center"/>
        <w:rPr>
          <w:sz w:val="28"/>
          <w:szCs w:val="28"/>
          <w:highlight w:val="none"/>
        </w:rPr>
      </w:pPr>
      <w:r>
        <w:rPr>
          <w:rFonts w:hint="eastAsia"/>
          <w:sz w:val="28"/>
          <w:szCs w:val="28"/>
          <w:highlight w:val="none"/>
        </w:rPr>
        <w:t xml:space="preserve">表 </w:t>
      </w:r>
      <w:r>
        <w:rPr>
          <w:sz w:val="28"/>
          <w:szCs w:val="28"/>
          <w:highlight w:val="none"/>
        </w:rPr>
        <w:t xml:space="preserve">5.4  </w:t>
      </w:r>
      <w:r>
        <w:rPr>
          <w:rFonts w:hint="eastAsia"/>
          <w:sz w:val="28"/>
          <w:szCs w:val="28"/>
          <w:highlight w:val="none"/>
        </w:rPr>
        <w:t>乡村建设指标指引表</w:t>
      </w:r>
    </w:p>
    <w:tbl>
      <w:tblPr>
        <w:tblStyle w:val="44"/>
        <w:tblW w:w="81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0"/>
        <w:gridCol w:w="1110"/>
        <w:gridCol w:w="1330"/>
        <w:gridCol w:w="1110"/>
        <w:gridCol w:w="2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jc w:val="center"/>
        </w:trPr>
        <w:tc>
          <w:tcPr>
            <w:tcW w:w="1990" w:type="dxa"/>
            <w:vAlign w:val="center"/>
          </w:tcPr>
          <w:p>
            <w:pPr>
              <w:pStyle w:val="46"/>
              <w:spacing w:line="360" w:lineRule="auto"/>
              <w:ind w:left="110" w:leftChars="50" w:right="110" w:rightChars="50"/>
              <w:jc w:val="center"/>
              <w:rPr>
                <w:highlight w:val="none"/>
              </w:rPr>
            </w:pPr>
            <w:r>
              <w:rPr>
                <w:highlight w:val="none"/>
              </w:rPr>
              <w:t>类型</w:t>
            </w:r>
          </w:p>
        </w:tc>
        <w:tc>
          <w:tcPr>
            <w:tcW w:w="2440" w:type="dxa"/>
            <w:gridSpan w:val="2"/>
            <w:vAlign w:val="center"/>
          </w:tcPr>
          <w:p>
            <w:pPr>
              <w:pStyle w:val="46"/>
              <w:spacing w:line="360" w:lineRule="auto"/>
              <w:ind w:left="110" w:leftChars="50" w:right="110" w:rightChars="50"/>
              <w:jc w:val="center"/>
              <w:rPr>
                <w:highlight w:val="none"/>
              </w:rPr>
            </w:pPr>
            <w:r>
              <w:rPr>
                <w:highlight w:val="none"/>
              </w:rPr>
              <w:t>用地性质</w:t>
            </w:r>
          </w:p>
        </w:tc>
        <w:tc>
          <w:tcPr>
            <w:tcW w:w="1110" w:type="dxa"/>
            <w:vAlign w:val="center"/>
          </w:tcPr>
          <w:p>
            <w:pPr>
              <w:pStyle w:val="46"/>
              <w:spacing w:line="360" w:lineRule="auto"/>
              <w:ind w:left="110" w:leftChars="50" w:right="110" w:rightChars="50"/>
              <w:jc w:val="center"/>
              <w:rPr>
                <w:highlight w:val="none"/>
              </w:rPr>
            </w:pPr>
            <w:r>
              <w:rPr>
                <w:highlight w:val="none"/>
              </w:rPr>
              <w:t>容积率</w:t>
            </w:r>
          </w:p>
        </w:tc>
        <w:tc>
          <w:tcPr>
            <w:tcW w:w="2600" w:type="dxa"/>
            <w:vAlign w:val="center"/>
          </w:tcPr>
          <w:p>
            <w:pPr>
              <w:pStyle w:val="46"/>
              <w:spacing w:line="360" w:lineRule="auto"/>
              <w:ind w:left="110" w:leftChars="50" w:right="110" w:rightChars="50"/>
              <w:jc w:val="center"/>
              <w:rPr>
                <w:highlight w:val="none"/>
              </w:rPr>
            </w:pPr>
            <w:r>
              <w:rPr>
                <w:highlight w:val="none"/>
              </w:rPr>
              <w:t>建筑高度</w:t>
            </w:r>
          </w:p>
          <w:p>
            <w:pPr>
              <w:pStyle w:val="46"/>
              <w:spacing w:line="360" w:lineRule="auto"/>
              <w:ind w:left="110" w:leftChars="50" w:right="110" w:rightChars="50"/>
              <w:jc w:val="center"/>
              <w:rPr>
                <w:highlight w:val="none"/>
              </w:rPr>
            </w:pPr>
            <w:r>
              <w:rPr>
                <w:highlight w:val="none"/>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Align w:val="center"/>
          </w:tcPr>
          <w:p>
            <w:pPr>
              <w:pStyle w:val="46"/>
              <w:spacing w:line="360" w:lineRule="auto"/>
              <w:ind w:left="110" w:leftChars="50" w:right="110" w:rightChars="50"/>
              <w:jc w:val="center"/>
              <w:rPr>
                <w:highlight w:val="none"/>
              </w:rPr>
            </w:pPr>
            <w:r>
              <w:rPr>
                <w:highlight w:val="none"/>
              </w:rPr>
              <w:t>村民住房</w:t>
            </w:r>
          </w:p>
        </w:tc>
        <w:tc>
          <w:tcPr>
            <w:tcW w:w="2440" w:type="dxa"/>
            <w:gridSpan w:val="2"/>
            <w:vAlign w:val="center"/>
          </w:tcPr>
          <w:p>
            <w:pPr>
              <w:pStyle w:val="46"/>
              <w:spacing w:line="360" w:lineRule="auto"/>
              <w:ind w:left="110" w:leftChars="50" w:right="110" w:rightChars="50"/>
              <w:jc w:val="center"/>
              <w:rPr>
                <w:highlight w:val="none"/>
              </w:rPr>
            </w:pPr>
            <w:r>
              <w:rPr>
                <w:highlight w:val="none"/>
              </w:rPr>
              <w:t>农村宅基地</w:t>
            </w:r>
          </w:p>
        </w:tc>
        <w:tc>
          <w:tcPr>
            <w:tcW w:w="1110" w:type="dxa"/>
            <w:vAlign w:val="center"/>
          </w:tcPr>
          <w:p>
            <w:pPr>
              <w:pStyle w:val="46"/>
              <w:spacing w:line="360" w:lineRule="auto"/>
              <w:ind w:left="110" w:leftChars="50" w:right="110" w:rightChars="50"/>
              <w:jc w:val="center"/>
              <w:rPr>
                <w:highlight w:val="none"/>
              </w:rPr>
            </w:pPr>
            <w:r>
              <w:rPr>
                <w:highlight w:val="none"/>
              </w:rPr>
              <w:t>—</w:t>
            </w:r>
          </w:p>
        </w:tc>
        <w:tc>
          <w:tcPr>
            <w:tcW w:w="2600" w:type="dxa"/>
            <w:vAlign w:val="center"/>
          </w:tcPr>
          <w:p>
            <w:pPr>
              <w:pStyle w:val="46"/>
              <w:spacing w:line="360" w:lineRule="auto"/>
              <w:ind w:left="110" w:leftChars="50" w:right="110" w:rightChars="50"/>
              <w:jc w:val="center"/>
              <w:rPr>
                <w:highlight w:val="none"/>
              </w:rPr>
            </w:pPr>
            <w:r>
              <w:rPr>
                <w:highlight w:val="none"/>
              </w:rPr>
              <w:t>≤</w:t>
            </w:r>
            <w:r>
              <w:rPr>
                <w:highlight w:val="none"/>
                <w:lang w:eastAsia="zh-CN"/>
              </w:rPr>
              <w:t>10.4</w:t>
            </w:r>
            <w:r>
              <w:rPr>
                <w:rFonts w:hint="eastAsia"/>
                <w:highlight w:val="none"/>
                <w:lang w:eastAsia="zh-CN"/>
              </w:rPr>
              <w:t>米（</w:t>
            </w:r>
            <w:r>
              <w:rPr>
                <w:rFonts w:hint="eastAsia"/>
                <w:spacing w:val="-5"/>
                <w:highlight w:val="none"/>
                <w:lang w:eastAsia="zh-CN"/>
              </w:rPr>
              <w:t>至屋面檐口</w:t>
            </w:r>
            <w:r>
              <w:rPr>
                <w:rFonts w:hint="eastAsia"/>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restart"/>
            <w:vAlign w:val="center"/>
          </w:tcPr>
          <w:p>
            <w:pPr>
              <w:pStyle w:val="46"/>
              <w:spacing w:line="360" w:lineRule="auto"/>
              <w:ind w:left="110" w:leftChars="50" w:right="110" w:rightChars="50"/>
              <w:jc w:val="center"/>
              <w:rPr>
                <w:highlight w:val="none"/>
              </w:rPr>
            </w:pPr>
            <w:r>
              <w:rPr>
                <w:highlight w:val="none"/>
              </w:rPr>
              <w:t>乡村公共服务设施</w:t>
            </w:r>
          </w:p>
        </w:tc>
        <w:tc>
          <w:tcPr>
            <w:tcW w:w="2440" w:type="dxa"/>
            <w:gridSpan w:val="2"/>
            <w:vAlign w:val="center"/>
          </w:tcPr>
          <w:p>
            <w:pPr>
              <w:pStyle w:val="46"/>
              <w:spacing w:line="360" w:lineRule="auto"/>
              <w:ind w:left="110" w:leftChars="50" w:right="110" w:rightChars="50"/>
              <w:jc w:val="center"/>
              <w:rPr>
                <w:highlight w:val="none"/>
                <w:lang w:eastAsia="zh-CN"/>
              </w:rPr>
            </w:pPr>
            <w:r>
              <w:rPr>
                <w:highlight w:val="none"/>
                <w:lang w:eastAsia="zh-CN"/>
              </w:rPr>
              <w:t>农村社区服务设施用地</w:t>
            </w:r>
          </w:p>
        </w:tc>
        <w:tc>
          <w:tcPr>
            <w:tcW w:w="1110" w:type="dxa"/>
            <w:vAlign w:val="center"/>
          </w:tcPr>
          <w:p>
            <w:pPr>
              <w:pStyle w:val="46"/>
              <w:spacing w:line="360" w:lineRule="auto"/>
              <w:ind w:left="110" w:leftChars="50" w:right="110" w:rightChars="50"/>
              <w:jc w:val="center"/>
              <w:rPr>
                <w:highlight w:val="none"/>
              </w:rPr>
            </w:pPr>
            <w:r>
              <w:rPr>
                <w:highlight w:val="none"/>
              </w:rPr>
              <w:t>≥0.8</w:t>
            </w:r>
          </w:p>
        </w:tc>
        <w:tc>
          <w:tcPr>
            <w:tcW w:w="2600" w:type="dxa"/>
            <w:vAlign w:val="center"/>
          </w:tcPr>
          <w:p>
            <w:pPr>
              <w:pStyle w:val="46"/>
              <w:spacing w:line="360" w:lineRule="auto"/>
              <w:ind w:left="110" w:leftChars="50" w:right="110" w:rightChars="50"/>
              <w:jc w:val="center"/>
              <w:rPr>
                <w:rFonts w:hint="default" w:eastAsia="仿宋"/>
                <w:highlight w:val="none"/>
                <w:lang w:val="en-US" w:eastAsia="zh-CN"/>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机关团体用地</w:t>
            </w:r>
          </w:p>
        </w:tc>
        <w:tc>
          <w:tcPr>
            <w:tcW w:w="1110" w:type="dxa"/>
            <w:vAlign w:val="center"/>
          </w:tcPr>
          <w:p>
            <w:pPr>
              <w:pStyle w:val="46"/>
              <w:spacing w:line="360" w:lineRule="auto"/>
              <w:ind w:left="110" w:leftChars="50" w:right="110" w:rightChars="50"/>
              <w:jc w:val="center"/>
              <w:rPr>
                <w:highlight w:val="none"/>
              </w:rPr>
            </w:pPr>
            <w:r>
              <w:rPr>
                <w:highlight w:val="none"/>
              </w:rPr>
              <w:t>0.8-1.5</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科研用地</w:t>
            </w:r>
          </w:p>
        </w:tc>
        <w:tc>
          <w:tcPr>
            <w:tcW w:w="1110" w:type="dxa"/>
            <w:vAlign w:val="center"/>
          </w:tcPr>
          <w:p>
            <w:pPr>
              <w:pStyle w:val="46"/>
              <w:spacing w:line="360" w:lineRule="auto"/>
              <w:ind w:left="110" w:leftChars="50" w:right="110" w:rightChars="50"/>
              <w:jc w:val="center"/>
              <w:rPr>
                <w:highlight w:val="none"/>
              </w:rPr>
            </w:pPr>
            <w:r>
              <w:rPr>
                <w:highlight w:val="none"/>
              </w:rPr>
              <w:t>0.8-1.5</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文化用地</w:t>
            </w:r>
          </w:p>
        </w:tc>
        <w:tc>
          <w:tcPr>
            <w:tcW w:w="1110" w:type="dxa"/>
            <w:vAlign w:val="center"/>
          </w:tcPr>
          <w:p>
            <w:pPr>
              <w:pStyle w:val="46"/>
              <w:spacing w:line="360" w:lineRule="auto"/>
              <w:ind w:left="110" w:leftChars="50" w:right="110" w:rightChars="50"/>
              <w:jc w:val="center"/>
              <w:rPr>
                <w:highlight w:val="none"/>
              </w:rPr>
            </w:pPr>
            <w:r>
              <w:rPr>
                <w:highlight w:val="none"/>
              </w:rPr>
              <w:t>0.8-1.5</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1110" w:type="dxa"/>
            <w:vMerge w:val="restart"/>
            <w:vAlign w:val="center"/>
          </w:tcPr>
          <w:p>
            <w:pPr>
              <w:pStyle w:val="46"/>
              <w:spacing w:line="360" w:lineRule="auto"/>
              <w:ind w:left="110" w:leftChars="50" w:right="110" w:rightChars="50"/>
              <w:jc w:val="center"/>
              <w:rPr>
                <w:highlight w:val="none"/>
              </w:rPr>
            </w:pPr>
            <w:r>
              <w:rPr>
                <w:highlight w:val="none"/>
              </w:rPr>
              <w:t>教育用地</w:t>
            </w:r>
          </w:p>
        </w:tc>
        <w:tc>
          <w:tcPr>
            <w:tcW w:w="1330" w:type="dxa"/>
            <w:vAlign w:val="center"/>
          </w:tcPr>
          <w:p>
            <w:pPr>
              <w:pStyle w:val="46"/>
              <w:spacing w:line="360" w:lineRule="auto"/>
              <w:ind w:left="110" w:leftChars="50" w:right="110" w:rightChars="50"/>
              <w:jc w:val="center"/>
              <w:rPr>
                <w:highlight w:val="none"/>
              </w:rPr>
            </w:pPr>
            <w:r>
              <w:rPr>
                <w:highlight w:val="none"/>
              </w:rPr>
              <w:t>幼儿园用地</w:t>
            </w:r>
          </w:p>
        </w:tc>
        <w:tc>
          <w:tcPr>
            <w:tcW w:w="1110" w:type="dxa"/>
            <w:vAlign w:val="center"/>
          </w:tcPr>
          <w:p>
            <w:pPr>
              <w:pStyle w:val="46"/>
              <w:spacing w:line="360" w:lineRule="auto"/>
              <w:ind w:left="110" w:leftChars="50" w:right="110" w:rightChars="50"/>
              <w:jc w:val="center"/>
              <w:rPr>
                <w:highlight w:val="none"/>
              </w:rPr>
            </w:pPr>
            <w:r>
              <w:rPr>
                <w:highlight w:val="none"/>
              </w:rPr>
              <w:t>0.55-0.8</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1110" w:type="dxa"/>
            <w:vMerge w:val="continue"/>
            <w:tcBorders>
              <w:top w:val="nil"/>
            </w:tcBorders>
            <w:vAlign w:val="center"/>
          </w:tcPr>
          <w:p>
            <w:pPr>
              <w:spacing w:line="360" w:lineRule="auto"/>
              <w:ind w:left="110" w:leftChars="50" w:right="110" w:rightChars="50"/>
              <w:jc w:val="center"/>
              <w:rPr>
                <w:highlight w:val="none"/>
              </w:rPr>
            </w:pPr>
          </w:p>
        </w:tc>
        <w:tc>
          <w:tcPr>
            <w:tcW w:w="1330" w:type="dxa"/>
            <w:vAlign w:val="center"/>
          </w:tcPr>
          <w:p>
            <w:pPr>
              <w:pStyle w:val="46"/>
              <w:spacing w:line="360" w:lineRule="auto"/>
              <w:ind w:left="110" w:leftChars="50" w:right="110" w:rightChars="50"/>
              <w:jc w:val="center"/>
              <w:rPr>
                <w:highlight w:val="none"/>
              </w:rPr>
            </w:pPr>
            <w:r>
              <w:rPr>
                <w:highlight w:val="none"/>
              </w:rPr>
              <w:t>中小学用地</w:t>
            </w:r>
          </w:p>
        </w:tc>
        <w:tc>
          <w:tcPr>
            <w:tcW w:w="1110" w:type="dxa"/>
            <w:vAlign w:val="center"/>
          </w:tcPr>
          <w:p>
            <w:pPr>
              <w:pStyle w:val="46"/>
              <w:spacing w:line="360" w:lineRule="auto"/>
              <w:ind w:left="110" w:leftChars="50" w:right="110" w:rightChars="50"/>
              <w:jc w:val="center"/>
              <w:rPr>
                <w:highlight w:val="none"/>
              </w:rPr>
            </w:pPr>
            <w:r>
              <w:rPr>
                <w:highlight w:val="none"/>
              </w:rPr>
              <w:t>0.4-0.8</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体育用地</w:t>
            </w:r>
          </w:p>
        </w:tc>
        <w:tc>
          <w:tcPr>
            <w:tcW w:w="1110" w:type="dxa"/>
            <w:vAlign w:val="center"/>
          </w:tcPr>
          <w:p>
            <w:pPr>
              <w:pStyle w:val="46"/>
              <w:spacing w:line="360" w:lineRule="auto"/>
              <w:ind w:left="110" w:leftChars="50" w:right="110" w:rightChars="50"/>
              <w:jc w:val="center"/>
              <w:rPr>
                <w:highlight w:val="none"/>
              </w:rPr>
            </w:pPr>
            <w:r>
              <w:rPr>
                <w:highlight w:val="none"/>
              </w:rPr>
              <w:t>0.6-1.0</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医疗卫生用地</w:t>
            </w:r>
          </w:p>
        </w:tc>
        <w:tc>
          <w:tcPr>
            <w:tcW w:w="1110" w:type="dxa"/>
            <w:vAlign w:val="center"/>
          </w:tcPr>
          <w:p>
            <w:pPr>
              <w:pStyle w:val="46"/>
              <w:spacing w:line="360" w:lineRule="auto"/>
              <w:ind w:left="110" w:leftChars="50" w:right="110" w:rightChars="50"/>
              <w:jc w:val="center"/>
              <w:rPr>
                <w:highlight w:val="none"/>
              </w:rPr>
            </w:pPr>
            <w:r>
              <w:rPr>
                <w:highlight w:val="none"/>
              </w:rPr>
              <w:t>0.7-1.2</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社会福利用地</w:t>
            </w:r>
          </w:p>
        </w:tc>
        <w:tc>
          <w:tcPr>
            <w:tcW w:w="1110" w:type="dxa"/>
            <w:vAlign w:val="center"/>
          </w:tcPr>
          <w:p>
            <w:pPr>
              <w:pStyle w:val="46"/>
              <w:spacing w:line="360" w:lineRule="auto"/>
              <w:ind w:left="110" w:leftChars="50" w:right="110" w:rightChars="50"/>
              <w:jc w:val="center"/>
              <w:rPr>
                <w:highlight w:val="none"/>
              </w:rPr>
            </w:pPr>
            <w:r>
              <w:rPr>
                <w:highlight w:val="none"/>
              </w:rPr>
              <w:t>0.5-1.0</w:t>
            </w:r>
          </w:p>
        </w:tc>
        <w:tc>
          <w:tcPr>
            <w:tcW w:w="2600" w:type="dxa"/>
            <w:vAlign w:val="center"/>
          </w:tcPr>
          <w:p>
            <w:pPr>
              <w:pStyle w:val="46"/>
              <w:spacing w:line="360" w:lineRule="auto"/>
              <w:ind w:left="110" w:leftChars="50" w:right="110" w:rightChars="50"/>
              <w:jc w:val="center"/>
              <w:rPr>
                <w:highlight w:val="none"/>
              </w:rPr>
            </w:pPr>
            <w:r>
              <w:rPr>
                <w:highlight w:val="none"/>
              </w:rPr>
              <w:t>≤</w:t>
            </w:r>
            <w:r>
              <w:rPr>
                <w:rFonts w:hint="eastAsia"/>
                <w:highlight w:val="none"/>
                <w:lang w:val="en-US" w:eastAsia="zh-CN"/>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Align w:val="center"/>
          </w:tcPr>
          <w:p>
            <w:pPr>
              <w:pStyle w:val="46"/>
              <w:spacing w:line="360" w:lineRule="auto"/>
              <w:ind w:left="110" w:leftChars="50" w:right="110" w:rightChars="50"/>
              <w:jc w:val="center"/>
              <w:rPr>
                <w:highlight w:val="none"/>
              </w:rPr>
            </w:pPr>
            <w:r>
              <w:rPr>
                <w:highlight w:val="none"/>
              </w:rPr>
              <w:t>市政公用设施</w:t>
            </w:r>
          </w:p>
        </w:tc>
        <w:tc>
          <w:tcPr>
            <w:tcW w:w="2440" w:type="dxa"/>
            <w:gridSpan w:val="2"/>
            <w:vAlign w:val="center"/>
          </w:tcPr>
          <w:p>
            <w:pPr>
              <w:pStyle w:val="46"/>
              <w:spacing w:line="360" w:lineRule="auto"/>
              <w:ind w:left="110" w:leftChars="50" w:right="110" w:rightChars="50"/>
              <w:jc w:val="center"/>
              <w:rPr>
                <w:highlight w:val="none"/>
              </w:rPr>
            </w:pPr>
            <w:r>
              <w:rPr>
                <w:highlight w:val="none"/>
              </w:rPr>
              <w:t>公用设施用地</w:t>
            </w:r>
          </w:p>
        </w:tc>
        <w:tc>
          <w:tcPr>
            <w:tcW w:w="1110" w:type="dxa"/>
            <w:vAlign w:val="center"/>
          </w:tcPr>
          <w:p>
            <w:pPr>
              <w:pStyle w:val="46"/>
              <w:spacing w:line="360" w:lineRule="auto"/>
              <w:ind w:left="110" w:leftChars="50" w:right="110" w:rightChars="50"/>
              <w:jc w:val="center"/>
              <w:rPr>
                <w:highlight w:val="none"/>
              </w:rPr>
            </w:pPr>
            <w:r>
              <w:rPr>
                <w:highlight w:val="none"/>
              </w:rPr>
              <w:t>0.5-1.0</w:t>
            </w:r>
          </w:p>
        </w:tc>
        <w:tc>
          <w:tcPr>
            <w:tcW w:w="2600" w:type="dxa"/>
            <w:vAlign w:val="center"/>
          </w:tcPr>
          <w:p>
            <w:pPr>
              <w:pStyle w:val="46"/>
              <w:spacing w:line="360" w:lineRule="auto"/>
              <w:ind w:left="110" w:leftChars="50" w:right="110" w:rightChars="50"/>
              <w:jc w:val="center"/>
              <w:rPr>
                <w:highlight w:val="none"/>
              </w:rPr>
            </w:pPr>
            <w:r>
              <w:rPr>
                <w:highlight w:val="none"/>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restart"/>
            <w:vAlign w:val="center"/>
          </w:tcPr>
          <w:p>
            <w:pPr>
              <w:pStyle w:val="46"/>
              <w:spacing w:line="360" w:lineRule="auto"/>
              <w:ind w:left="110" w:leftChars="50" w:right="110" w:rightChars="50"/>
              <w:jc w:val="center"/>
              <w:rPr>
                <w:highlight w:val="none"/>
              </w:rPr>
            </w:pPr>
            <w:r>
              <w:rPr>
                <w:highlight w:val="none"/>
              </w:rPr>
              <w:t>乡村产业</w:t>
            </w:r>
          </w:p>
        </w:tc>
        <w:tc>
          <w:tcPr>
            <w:tcW w:w="2440" w:type="dxa"/>
            <w:gridSpan w:val="2"/>
            <w:vAlign w:val="center"/>
          </w:tcPr>
          <w:p>
            <w:pPr>
              <w:pStyle w:val="46"/>
              <w:spacing w:line="360" w:lineRule="auto"/>
              <w:ind w:left="110" w:leftChars="50" w:right="110" w:rightChars="50"/>
              <w:jc w:val="center"/>
              <w:rPr>
                <w:highlight w:val="none"/>
              </w:rPr>
            </w:pPr>
            <w:r>
              <w:rPr>
                <w:highlight w:val="none"/>
              </w:rPr>
              <w:t>商业用地</w:t>
            </w:r>
          </w:p>
        </w:tc>
        <w:tc>
          <w:tcPr>
            <w:tcW w:w="1110" w:type="dxa"/>
            <w:vAlign w:val="center"/>
          </w:tcPr>
          <w:p>
            <w:pPr>
              <w:pStyle w:val="46"/>
              <w:spacing w:line="360" w:lineRule="auto"/>
              <w:ind w:left="110" w:leftChars="50" w:right="110" w:rightChars="50"/>
              <w:jc w:val="center"/>
              <w:rPr>
                <w:highlight w:val="none"/>
              </w:rPr>
            </w:pPr>
            <w:r>
              <w:rPr>
                <w:highlight w:val="none"/>
              </w:rPr>
              <w:t>0.7-1.2</w:t>
            </w:r>
          </w:p>
        </w:tc>
        <w:tc>
          <w:tcPr>
            <w:tcW w:w="2600" w:type="dxa"/>
            <w:vAlign w:val="center"/>
          </w:tcPr>
          <w:p>
            <w:pPr>
              <w:pStyle w:val="46"/>
              <w:spacing w:line="360" w:lineRule="auto"/>
              <w:ind w:left="110" w:leftChars="50" w:right="110" w:rightChars="50"/>
              <w:jc w:val="center"/>
              <w:rPr>
                <w:highlight w:val="none"/>
              </w:rPr>
            </w:pPr>
            <w:r>
              <w:rPr>
                <w:highlight w:val="none"/>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商务金融用地</w:t>
            </w:r>
          </w:p>
        </w:tc>
        <w:tc>
          <w:tcPr>
            <w:tcW w:w="1110" w:type="dxa"/>
            <w:vAlign w:val="center"/>
          </w:tcPr>
          <w:p>
            <w:pPr>
              <w:pStyle w:val="46"/>
              <w:spacing w:line="360" w:lineRule="auto"/>
              <w:ind w:left="110" w:leftChars="50" w:right="110" w:rightChars="50"/>
              <w:jc w:val="center"/>
              <w:rPr>
                <w:highlight w:val="none"/>
              </w:rPr>
            </w:pPr>
            <w:r>
              <w:rPr>
                <w:highlight w:val="none"/>
              </w:rPr>
              <w:t>1.0-1.5</w:t>
            </w:r>
          </w:p>
        </w:tc>
        <w:tc>
          <w:tcPr>
            <w:tcW w:w="2600" w:type="dxa"/>
            <w:vAlign w:val="center"/>
          </w:tcPr>
          <w:p>
            <w:pPr>
              <w:pStyle w:val="46"/>
              <w:spacing w:line="360" w:lineRule="auto"/>
              <w:ind w:left="110" w:leftChars="50" w:right="110" w:rightChars="50"/>
              <w:jc w:val="center"/>
              <w:rPr>
                <w:highlight w:val="none"/>
              </w:rPr>
            </w:pPr>
            <w:r>
              <w:rPr>
                <w:highlight w:val="none"/>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娱乐用地</w:t>
            </w:r>
          </w:p>
        </w:tc>
        <w:tc>
          <w:tcPr>
            <w:tcW w:w="1110" w:type="dxa"/>
            <w:vAlign w:val="center"/>
          </w:tcPr>
          <w:p>
            <w:pPr>
              <w:pStyle w:val="46"/>
              <w:spacing w:line="360" w:lineRule="auto"/>
              <w:ind w:left="110" w:leftChars="50" w:right="110" w:rightChars="50"/>
              <w:jc w:val="center"/>
              <w:rPr>
                <w:highlight w:val="none"/>
              </w:rPr>
            </w:pPr>
            <w:r>
              <w:rPr>
                <w:highlight w:val="none"/>
              </w:rPr>
              <w:t>0.7-1.2</w:t>
            </w:r>
          </w:p>
        </w:tc>
        <w:tc>
          <w:tcPr>
            <w:tcW w:w="2600" w:type="dxa"/>
            <w:vAlign w:val="center"/>
          </w:tcPr>
          <w:p>
            <w:pPr>
              <w:pStyle w:val="46"/>
              <w:spacing w:line="360" w:lineRule="auto"/>
              <w:ind w:left="110" w:leftChars="50" w:right="110" w:rightChars="50"/>
              <w:jc w:val="center"/>
              <w:rPr>
                <w:highlight w:val="none"/>
              </w:rPr>
            </w:pPr>
            <w:r>
              <w:rPr>
                <w:highlight w:val="none"/>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工业用地</w:t>
            </w:r>
          </w:p>
        </w:tc>
        <w:tc>
          <w:tcPr>
            <w:tcW w:w="1110" w:type="dxa"/>
            <w:vAlign w:val="center"/>
          </w:tcPr>
          <w:p>
            <w:pPr>
              <w:pStyle w:val="46"/>
              <w:spacing w:line="360" w:lineRule="auto"/>
              <w:ind w:left="110" w:leftChars="50" w:right="110" w:rightChars="50"/>
              <w:jc w:val="center"/>
              <w:rPr>
                <w:rFonts w:hint="default" w:eastAsia="仿宋"/>
                <w:highlight w:val="none"/>
                <w:lang w:val="en-US" w:eastAsia="zh-CN"/>
              </w:rPr>
            </w:pPr>
            <w:r>
              <w:rPr>
                <w:highlight w:val="none"/>
              </w:rPr>
              <w:t>0.6-</w:t>
            </w:r>
            <w:r>
              <w:rPr>
                <w:rFonts w:hint="eastAsia"/>
                <w:highlight w:val="none"/>
                <w:lang w:val="en-US" w:eastAsia="zh-CN"/>
              </w:rPr>
              <w:t>2.0</w:t>
            </w:r>
          </w:p>
        </w:tc>
        <w:tc>
          <w:tcPr>
            <w:tcW w:w="2600" w:type="dxa"/>
            <w:vAlign w:val="center"/>
          </w:tcPr>
          <w:p>
            <w:pPr>
              <w:pStyle w:val="46"/>
              <w:spacing w:line="360" w:lineRule="auto"/>
              <w:ind w:left="110" w:leftChars="50" w:right="110" w:rightChars="50"/>
              <w:jc w:val="center"/>
              <w:rPr>
                <w:highlight w:val="none"/>
              </w:rPr>
            </w:pPr>
            <w:r>
              <w:rPr>
                <w:highlight w:val="none"/>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990" w:type="dxa"/>
            <w:vMerge w:val="continue"/>
            <w:tcBorders>
              <w:top w:val="nil"/>
            </w:tcBorders>
            <w:vAlign w:val="center"/>
          </w:tcPr>
          <w:p>
            <w:pPr>
              <w:spacing w:line="360" w:lineRule="auto"/>
              <w:ind w:left="110" w:leftChars="50" w:right="110" w:rightChars="50"/>
              <w:jc w:val="center"/>
              <w:rPr>
                <w:highlight w:val="none"/>
              </w:rPr>
            </w:pPr>
          </w:p>
        </w:tc>
        <w:tc>
          <w:tcPr>
            <w:tcW w:w="2440" w:type="dxa"/>
            <w:gridSpan w:val="2"/>
            <w:vAlign w:val="center"/>
          </w:tcPr>
          <w:p>
            <w:pPr>
              <w:pStyle w:val="46"/>
              <w:spacing w:line="360" w:lineRule="auto"/>
              <w:ind w:left="110" w:leftChars="50" w:right="110" w:rightChars="50"/>
              <w:jc w:val="center"/>
              <w:rPr>
                <w:highlight w:val="none"/>
              </w:rPr>
            </w:pPr>
            <w:r>
              <w:rPr>
                <w:highlight w:val="none"/>
              </w:rPr>
              <w:t>物流仓储用地</w:t>
            </w:r>
          </w:p>
        </w:tc>
        <w:tc>
          <w:tcPr>
            <w:tcW w:w="1110" w:type="dxa"/>
            <w:vAlign w:val="center"/>
          </w:tcPr>
          <w:p>
            <w:pPr>
              <w:pStyle w:val="46"/>
              <w:spacing w:line="360" w:lineRule="auto"/>
              <w:ind w:left="110" w:leftChars="50" w:right="110" w:rightChars="50"/>
              <w:jc w:val="center"/>
              <w:rPr>
                <w:highlight w:val="none"/>
              </w:rPr>
            </w:pPr>
            <w:r>
              <w:rPr>
                <w:highlight w:val="none"/>
              </w:rPr>
              <w:t>0.6-1.5</w:t>
            </w:r>
          </w:p>
        </w:tc>
        <w:tc>
          <w:tcPr>
            <w:tcW w:w="2600" w:type="dxa"/>
            <w:vAlign w:val="center"/>
          </w:tcPr>
          <w:p>
            <w:pPr>
              <w:pStyle w:val="46"/>
              <w:spacing w:line="360" w:lineRule="auto"/>
              <w:ind w:left="110" w:leftChars="50" w:right="110" w:rightChars="50"/>
              <w:jc w:val="center"/>
              <w:rPr>
                <w:highlight w:val="none"/>
              </w:rPr>
            </w:pPr>
            <w:r>
              <w:rPr>
                <w:highlight w:val="none"/>
              </w:rPr>
              <w:t>≤24</w:t>
            </w:r>
          </w:p>
        </w:tc>
      </w:tr>
    </w:tbl>
    <w:p>
      <w:pPr>
        <w:spacing w:line="360" w:lineRule="auto"/>
        <w:ind w:left="110" w:leftChars="50" w:right="110" w:rightChars="50" w:firstLine="440" w:firstLineChars="200"/>
        <w:jc w:val="left"/>
        <w:rPr>
          <w:rFonts w:hint="eastAsia"/>
          <w:sz w:val="22"/>
          <w:szCs w:val="22"/>
          <w:highlight w:val="none"/>
          <w:lang w:eastAsia="zh-CN"/>
        </w:rPr>
      </w:pPr>
      <w:r>
        <w:rPr>
          <w:rFonts w:hint="eastAsia"/>
          <w:sz w:val="22"/>
          <w:szCs w:val="22"/>
          <w:highlight w:val="none"/>
          <w:lang w:eastAsia="zh-CN"/>
        </w:rPr>
        <w:t>注：</w:t>
      </w:r>
      <w:r>
        <w:rPr>
          <w:highlight w:val="none"/>
          <w:lang w:eastAsia="zh-CN"/>
        </w:rPr>
        <w:t>1.</w:t>
      </w:r>
      <w:r>
        <w:rPr>
          <w:rFonts w:hint="eastAsia"/>
          <w:sz w:val="22"/>
          <w:szCs w:val="22"/>
          <w:highlight w:val="none"/>
          <w:lang w:eastAsia="zh-CN"/>
        </w:rPr>
        <w:t>以上指标为指</w:t>
      </w:r>
      <w:r>
        <w:rPr>
          <w:rFonts w:hint="eastAsia"/>
          <w:color w:val="auto"/>
          <w:sz w:val="22"/>
          <w:szCs w:val="22"/>
          <w:highlight w:val="none"/>
          <w:lang w:eastAsia="zh-CN"/>
        </w:rPr>
        <w:t>引指标，新建项目宜达到指引标准，改、扩建项目参照使用。</w:t>
      </w:r>
      <w:r>
        <w:rPr>
          <w:color w:val="auto"/>
          <w:sz w:val="22"/>
          <w:szCs w:val="22"/>
          <w:highlight w:val="none"/>
          <w:lang w:eastAsia="zh-CN"/>
        </w:rPr>
        <w:t>2.</w:t>
      </w:r>
      <w:r>
        <w:rPr>
          <w:rFonts w:hint="eastAsia"/>
          <w:color w:val="auto"/>
          <w:sz w:val="22"/>
          <w:szCs w:val="22"/>
          <w:highlight w:val="none"/>
          <w:lang w:val="en-US" w:eastAsia="zh-CN"/>
        </w:rPr>
        <w:t>以乡村用地集约节约利用为原则，</w:t>
      </w:r>
      <w:r>
        <w:rPr>
          <w:rFonts w:hint="eastAsia"/>
          <w:color w:val="auto"/>
          <w:sz w:val="22"/>
          <w:szCs w:val="22"/>
          <w:highlight w:val="none"/>
          <w:lang w:eastAsia="zh-CN"/>
        </w:rPr>
        <w:t>特殊情况由</w:t>
      </w:r>
      <w:r>
        <w:rPr>
          <w:rFonts w:hint="eastAsia"/>
          <w:color w:val="auto"/>
          <w:sz w:val="22"/>
          <w:szCs w:val="22"/>
          <w:highlight w:val="none"/>
          <w:lang w:val="en-US" w:eastAsia="zh-CN"/>
        </w:rPr>
        <w:t>县级以上自然资源主管部门</w:t>
      </w:r>
      <w:r>
        <w:rPr>
          <w:rFonts w:hint="eastAsia"/>
          <w:color w:val="auto"/>
          <w:sz w:val="22"/>
          <w:szCs w:val="22"/>
          <w:highlight w:val="none"/>
          <w:lang w:eastAsia="zh-CN"/>
        </w:rPr>
        <w:t>结合实际拟定指标。</w:t>
      </w:r>
    </w:p>
    <w:p>
      <w:pPr>
        <w:pStyle w:val="12"/>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r>
        <w:rPr>
          <w:rFonts w:hint="eastAsia" w:ascii="微软雅黑" w:hAnsi="微软雅黑" w:eastAsia="微软雅黑"/>
          <w:b/>
          <w:highlight w:val="none"/>
          <w:lang w:eastAsia="zh-CN"/>
        </w:rPr>
        <w:t>第六十</w:t>
      </w:r>
      <w:r>
        <w:rPr>
          <w:rFonts w:hint="eastAsia" w:ascii="微软雅黑" w:hAnsi="微软雅黑" w:eastAsia="微软雅黑"/>
          <w:b/>
          <w:highlight w:val="none"/>
          <w:lang w:val="en-US" w:eastAsia="zh-CN"/>
        </w:rPr>
        <w:t>三</w:t>
      </w:r>
      <w:r>
        <w:rPr>
          <w:rFonts w:hint="eastAsia" w:ascii="微软雅黑" w:hAnsi="微软雅黑" w:eastAsia="微软雅黑"/>
          <w:b/>
          <w:highlight w:val="none"/>
          <w:lang w:eastAsia="zh-CN"/>
        </w:rPr>
        <w:t xml:space="preserve">条 </w:t>
      </w:r>
      <w:r>
        <w:rPr>
          <w:rFonts w:hint="eastAsia"/>
          <w:highlight w:val="none"/>
          <w:lang w:eastAsia="zh-CN"/>
        </w:rPr>
        <w:t>乡村公共服务设施、乡村产业用地地块内应合理建设配置停车泊位，并满足其使用要求。</w:t>
      </w:r>
    </w:p>
    <w:p>
      <w:pPr>
        <w:pStyle w:val="2"/>
        <w:keepNext w:val="0"/>
        <w:keepLines w:val="0"/>
        <w:spacing w:before="0" w:after="0"/>
        <w:ind w:right="296"/>
        <w:jc w:val="center"/>
        <w:rPr>
          <w:rFonts w:ascii="微软雅黑" w:hAnsi="微软雅黑" w:eastAsia="微软雅黑" w:cs="微软雅黑"/>
          <w:b/>
          <w:bCs/>
          <w:color w:val="auto"/>
          <w:sz w:val="32"/>
          <w:szCs w:val="32"/>
          <w:highlight w:val="none"/>
          <w:lang w:eastAsia="zh-CN"/>
        </w:rPr>
      </w:pPr>
      <w:bookmarkStart w:id="32" w:name="_bookmark22"/>
      <w:bookmarkEnd w:id="32"/>
      <w:bookmarkStart w:id="33" w:name="_Toc17418"/>
      <w:r>
        <w:rPr>
          <w:rFonts w:ascii="微软雅黑" w:hAnsi="微软雅黑" w:eastAsia="微软雅黑" w:cs="微软雅黑"/>
          <w:b/>
          <w:bCs/>
          <w:color w:val="auto"/>
          <w:sz w:val="32"/>
          <w:szCs w:val="32"/>
          <w:highlight w:val="none"/>
          <w:lang w:eastAsia="zh-CN"/>
        </w:rPr>
        <w:t>第六章 其他管控指引</w:t>
      </w:r>
      <w:bookmarkEnd w:id="33"/>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34" w:name="_bookmark23"/>
      <w:bookmarkEnd w:id="34"/>
      <w:r>
        <w:rPr>
          <w:rFonts w:ascii="微软雅黑" w:hAnsi="微软雅黑" w:eastAsia="微软雅黑" w:cs="微软雅黑"/>
          <w:b/>
          <w:bCs/>
          <w:color w:val="auto"/>
          <w:sz w:val="30"/>
          <w:szCs w:val="30"/>
          <w:highlight w:val="none"/>
          <w:lang w:eastAsia="zh-CN"/>
        </w:rPr>
        <w:t>第一节 乡村道路交通规划指引</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第六十</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 xml:space="preserve">条 </w:t>
      </w:r>
      <w:r>
        <w:rPr>
          <w:rFonts w:hint="eastAsia"/>
          <w:spacing w:val="-13"/>
          <w:highlight w:val="none"/>
          <w:lang w:eastAsia="zh-CN"/>
        </w:rPr>
        <w:t>乡村道路宜分为村域组团间连接道路、村屯内部主要道路、村屯内部次要道路三个级别。道路建设应方便村民生产生活，兼顾雨水、污水重力自流管线收集排放的要求，道路路基宽度最大不应超过8米，各级道路建设指引宜参照下表执行</w:t>
      </w:r>
      <w:r>
        <w:rPr>
          <w:highlight w:val="none"/>
          <w:lang w:eastAsia="zh-CN"/>
        </w:rPr>
        <w:t>。</w:t>
      </w: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6.1  </w:t>
      </w:r>
      <w:r>
        <w:rPr>
          <w:rFonts w:hint="eastAsia"/>
          <w:sz w:val="28"/>
          <w:szCs w:val="28"/>
          <w:highlight w:val="none"/>
          <w:lang w:eastAsia="zh-CN"/>
        </w:rPr>
        <w:t>乡村道路建设指引表</w:t>
      </w:r>
    </w:p>
    <w:tbl>
      <w:tblPr>
        <w:tblStyle w:val="44"/>
        <w:tblW w:w="9737"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7"/>
        <w:gridCol w:w="4477"/>
        <w:gridCol w:w="3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1577" w:type="dxa"/>
            <w:vAlign w:val="center"/>
          </w:tcPr>
          <w:p>
            <w:pPr>
              <w:pStyle w:val="46"/>
              <w:spacing w:line="360" w:lineRule="auto"/>
              <w:ind w:left="110" w:leftChars="50" w:right="110" w:rightChars="50"/>
              <w:jc w:val="center"/>
              <w:rPr>
                <w:highlight w:val="none"/>
              </w:rPr>
            </w:pPr>
            <w:r>
              <w:rPr>
                <w:highlight w:val="none"/>
              </w:rPr>
              <w:t>道路级别</w:t>
            </w:r>
          </w:p>
        </w:tc>
        <w:tc>
          <w:tcPr>
            <w:tcW w:w="4477" w:type="dxa"/>
            <w:vAlign w:val="center"/>
          </w:tcPr>
          <w:p>
            <w:pPr>
              <w:pStyle w:val="46"/>
              <w:spacing w:line="360" w:lineRule="auto"/>
              <w:ind w:left="110" w:leftChars="50" w:right="110" w:rightChars="50"/>
              <w:rPr>
                <w:highlight w:val="none"/>
              </w:rPr>
            </w:pPr>
            <w:r>
              <w:rPr>
                <w:highlight w:val="none"/>
              </w:rPr>
              <w:t>建设标准</w:t>
            </w:r>
          </w:p>
        </w:tc>
        <w:tc>
          <w:tcPr>
            <w:tcW w:w="3683" w:type="dxa"/>
            <w:vAlign w:val="center"/>
          </w:tcPr>
          <w:p>
            <w:pPr>
              <w:pStyle w:val="46"/>
              <w:spacing w:line="360" w:lineRule="auto"/>
              <w:ind w:left="110" w:leftChars="50" w:right="110" w:rightChars="50"/>
              <w:rPr>
                <w:highlight w:val="none"/>
              </w:rPr>
            </w:pPr>
            <w:r>
              <w:rPr>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1577" w:type="dxa"/>
            <w:vAlign w:val="center"/>
          </w:tcPr>
          <w:p>
            <w:pPr>
              <w:pStyle w:val="46"/>
              <w:spacing w:line="360" w:lineRule="auto"/>
              <w:ind w:left="110" w:leftChars="50" w:right="110" w:rightChars="50"/>
              <w:jc w:val="center"/>
              <w:rPr>
                <w:highlight w:val="none"/>
              </w:rPr>
            </w:pPr>
            <w:r>
              <w:rPr>
                <w:highlight w:val="none"/>
              </w:rPr>
              <w:t>村域组团间连接道路</w:t>
            </w:r>
          </w:p>
        </w:tc>
        <w:tc>
          <w:tcPr>
            <w:tcW w:w="4477" w:type="dxa"/>
            <w:vAlign w:val="center"/>
          </w:tcPr>
          <w:p>
            <w:pPr>
              <w:pStyle w:val="46"/>
              <w:spacing w:line="360" w:lineRule="auto"/>
              <w:ind w:left="0" w:leftChars="0" w:right="110" w:rightChars="50" w:firstLine="0" w:firstLineChars="0"/>
              <w:jc w:val="center"/>
              <w:rPr>
                <w:highlight w:val="none"/>
                <w:lang w:eastAsia="zh-CN"/>
              </w:rPr>
            </w:pPr>
            <w:r>
              <w:rPr>
                <w:highlight w:val="none"/>
                <w:lang w:eastAsia="zh-CN"/>
              </w:rPr>
              <w:t>路面宽度宜为4.5-6米，不应小于4.5米，部分条件受限地区路面宽度不宜小于3.5米</w:t>
            </w:r>
          </w:p>
        </w:tc>
        <w:tc>
          <w:tcPr>
            <w:tcW w:w="3683" w:type="dxa"/>
            <w:vAlign w:val="center"/>
          </w:tcPr>
          <w:p>
            <w:pPr>
              <w:pStyle w:val="46"/>
              <w:spacing w:line="360" w:lineRule="auto"/>
              <w:ind w:left="0" w:leftChars="0" w:right="110" w:rightChars="50" w:firstLine="0" w:firstLineChars="0"/>
              <w:jc w:val="center"/>
              <w:rPr>
                <w:highlight w:val="none"/>
                <w:lang w:eastAsia="zh-CN"/>
              </w:rPr>
            </w:pPr>
            <w:r>
              <w:rPr>
                <w:highlight w:val="none"/>
                <w:lang w:eastAsia="zh-CN"/>
              </w:rPr>
              <w:t>不能满足会车要求的，应在一定距离内根据地形条件设置会车场地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1577" w:type="dxa"/>
            <w:vAlign w:val="center"/>
          </w:tcPr>
          <w:p>
            <w:pPr>
              <w:pStyle w:val="46"/>
              <w:spacing w:line="360" w:lineRule="auto"/>
              <w:ind w:left="110" w:leftChars="50" w:right="110" w:rightChars="50"/>
              <w:jc w:val="center"/>
              <w:rPr>
                <w:highlight w:val="none"/>
              </w:rPr>
            </w:pPr>
            <w:r>
              <w:rPr>
                <w:highlight w:val="none"/>
              </w:rPr>
              <w:t>村屯内部主要道路</w:t>
            </w:r>
          </w:p>
        </w:tc>
        <w:tc>
          <w:tcPr>
            <w:tcW w:w="4477" w:type="dxa"/>
            <w:vAlign w:val="center"/>
          </w:tcPr>
          <w:p>
            <w:pPr>
              <w:pStyle w:val="46"/>
              <w:spacing w:line="360" w:lineRule="auto"/>
              <w:ind w:left="0" w:leftChars="0" w:right="110" w:rightChars="50" w:firstLine="0" w:firstLineChars="0"/>
              <w:jc w:val="center"/>
              <w:rPr>
                <w:highlight w:val="none"/>
                <w:lang w:eastAsia="zh-CN"/>
              </w:rPr>
            </w:pPr>
            <w:r>
              <w:rPr>
                <w:highlight w:val="none"/>
                <w:lang w:eastAsia="zh-CN"/>
              </w:rPr>
              <w:t>路面宽度宜4.5米，不宜低于3.5米</w:t>
            </w:r>
          </w:p>
        </w:tc>
        <w:tc>
          <w:tcPr>
            <w:tcW w:w="3683" w:type="dxa"/>
            <w:vAlign w:val="center"/>
          </w:tcPr>
          <w:p>
            <w:pPr>
              <w:pStyle w:val="46"/>
              <w:spacing w:line="360" w:lineRule="auto"/>
              <w:ind w:left="0" w:leftChars="0" w:right="110" w:rightChars="50" w:firstLine="0" w:firstLineChars="0"/>
              <w:jc w:val="center"/>
              <w:rPr>
                <w:highlight w:val="none"/>
                <w:lang w:eastAsia="zh-CN"/>
              </w:rPr>
            </w:pPr>
            <w:r>
              <w:rPr>
                <w:highlight w:val="none"/>
                <w:lang w:eastAsia="zh-CN"/>
              </w:rPr>
              <w:t>不能满足会车要求的，应在一定距离内根据地形条件设置会车场地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1577" w:type="dxa"/>
            <w:vAlign w:val="center"/>
          </w:tcPr>
          <w:p>
            <w:pPr>
              <w:pStyle w:val="46"/>
              <w:spacing w:line="360" w:lineRule="auto"/>
              <w:ind w:left="110" w:leftChars="50" w:right="110" w:rightChars="50"/>
              <w:jc w:val="center"/>
              <w:rPr>
                <w:highlight w:val="none"/>
              </w:rPr>
            </w:pPr>
            <w:r>
              <w:rPr>
                <w:highlight w:val="none"/>
              </w:rPr>
              <w:t>村屯内部次要道路</w:t>
            </w:r>
          </w:p>
        </w:tc>
        <w:tc>
          <w:tcPr>
            <w:tcW w:w="4477" w:type="dxa"/>
            <w:vAlign w:val="center"/>
          </w:tcPr>
          <w:p>
            <w:pPr>
              <w:pStyle w:val="46"/>
              <w:spacing w:line="360" w:lineRule="auto"/>
              <w:ind w:left="0" w:leftChars="0" w:right="110" w:rightChars="50" w:firstLine="0" w:firstLineChars="0"/>
              <w:jc w:val="center"/>
              <w:rPr>
                <w:highlight w:val="none"/>
              </w:rPr>
            </w:pPr>
            <w:r>
              <w:rPr>
                <w:highlight w:val="none"/>
              </w:rPr>
              <w:t>路面宽度不宜小于2.5米</w:t>
            </w:r>
          </w:p>
        </w:tc>
        <w:tc>
          <w:tcPr>
            <w:tcW w:w="3683" w:type="dxa"/>
            <w:vAlign w:val="center"/>
          </w:tcPr>
          <w:p>
            <w:pPr>
              <w:pStyle w:val="46"/>
              <w:spacing w:line="360" w:lineRule="auto"/>
              <w:ind w:left="110" w:leftChars="50" w:right="110" w:rightChars="50" w:firstLine="440" w:firstLineChars="200"/>
              <w:jc w:val="center"/>
              <w:rPr>
                <w:highlight w:val="none"/>
              </w:rPr>
            </w:pPr>
            <w:r>
              <w:rPr>
                <w:highlight w:val="none"/>
              </w:rPr>
              <w:t>—</w:t>
            </w:r>
          </w:p>
        </w:tc>
      </w:tr>
    </w:tbl>
    <w:p>
      <w:pPr>
        <w:spacing w:line="360" w:lineRule="auto"/>
        <w:ind w:left="110" w:leftChars="50" w:right="110" w:rightChars="50" w:firstLine="440" w:firstLineChars="200"/>
        <w:rPr>
          <w:highlight w:val="none"/>
          <w:lang w:eastAsia="zh-CN"/>
        </w:rPr>
      </w:pPr>
      <w:r>
        <w:rPr>
          <w:highlight w:val="none"/>
          <w:lang w:eastAsia="zh-CN"/>
        </w:rPr>
        <w:t>注：乡村道路竖向设计根据现状地形，在减少土石方量并满足道路排水要求的前提下，道路纵坡宜控制在</w:t>
      </w:r>
      <w:r>
        <w:rPr>
          <w:rFonts w:hint="eastAsia"/>
          <w:highlight w:val="none"/>
          <w:lang w:eastAsia="zh-CN"/>
        </w:rPr>
        <w:t>0.3</w:t>
      </w:r>
      <w:r>
        <w:rPr>
          <w:highlight w:val="none"/>
          <w:lang w:eastAsia="zh-CN"/>
        </w:rPr>
        <w:t>%～8%之间；乡村道路仅作为人行道路的，道路纵坡宜控制在8%以内，超过8%的坡度宜设置梯道。</w:t>
      </w:r>
    </w:p>
    <w:p>
      <w:pPr>
        <w:pStyle w:val="12"/>
        <w:spacing w:line="360" w:lineRule="auto"/>
        <w:ind w:left="110" w:leftChars="50" w:right="110" w:rightChars="50" w:firstLine="560" w:firstLineChars="200"/>
        <w:rPr>
          <w:rFonts w:hint="eastAsia"/>
          <w:spacing w:val="-13"/>
          <w:highlight w:val="none"/>
          <w:lang w:eastAsia="zh-CN"/>
        </w:rPr>
      </w:pPr>
      <w:r>
        <w:rPr>
          <w:rFonts w:hint="eastAsia" w:ascii="微软雅黑" w:hAnsi="微软雅黑" w:eastAsia="微软雅黑"/>
          <w:b/>
          <w:highlight w:val="none"/>
          <w:lang w:eastAsia="zh-CN"/>
        </w:rPr>
        <w:t>第六十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spacing w:val="-13"/>
          <w:highlight w:val="none"/>
          <w:lang w:eastAsia="zh-CN"/>
        </w:rPr>
        <w:t>新建、改建乡村道路时，应当作为消防通道使用的，其路面宽度、转弯半径以及管架、栈桥等设施跨越道路的高度，应当符合消防车辆通行要求，消防车通道净宽、净高度</w:t>
      </w:r>
      <w:r>
        <w:rPr>
          <w:rFonts w:hint="eastAsia"/>
          <w:spacing w:val="-13"/>
          <w:highlight w:val="none"/>
          <w:lang w:val="en-US" w:eastAsia="zh-CN"/>
        </w:rPr>
        <w:t>均不应小于</w:t>
      </w:r>
      <w:r>
        <w:rPr>
          <w:rFonts w:hint="eastAsia"/>
          <w:spacing w:val="-13"/>
          <w:highlight w:val="none"/>
          <w:lang w:eastAsia="zh-CN"/>
        </w:rPr>
        <w:t>4米，转弯半径不小于9米。</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六十六</w:t>
      </w:r>
      <w:r>
        <w:rPr>
          <w:rFonts w:hint="eastAsia" w:ascii="微软雅黑" w:hAnsi="微软雅黑" w:eastAsia="微软雅黑"/>
          <w:b/>
          <w:highlight w:val="none"/>
          <w:lang w:eastAsia="zh-CN"/>
        </w:rPr>
        <w:t xml:space="preserve">条 </w:t>
      </w:r>
      <w:r>
        <w:rPr>
          <w:rFonts w:hint="eastAsia"/>
          <w:spacing w:val="-14"/>
          <w:highlight w:val="none"/>
          <w:lang w:eastAsia="zh-CN"/>
        </w:rPr>
        <w:t>乡村产业道路应避免占用耕地，确需占用耕地的，应减少对耕地的破坏，宜采用非硬化铺装路面，宽度宜为3～6米，不宜低于2.5米</w:t>
      </w:r>
      <w:r>
        <w:rPr>
          <w:highlight w:val="none"/>
          <w:lang w:eastAsia="zh-CN"/>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六十七</w:t>
      </w:r>
      <w:r>
        <w:rPr>
          <w:rFonts w:hint="eastAsia" w:ascii="微软雅黑" w:hAnsi="微软雅黑" w:eastAsia="微软雅黑"/>
          <w:b/>
          <w:sz w:val="28"/>
          <w:szCs w:val="28"/>
          <w:highlight w:val="none"/>
          <w:lang w:eastAsia="zh-CN"/>
        </w:rPr>
        <w:t xml:space="preserve">条 </w:t>
      </w:r>
      <w:r>
        <w:rPr>
          <w:rFonts w:hint="eastAsia"/>
          <w:sz w:val="28"/>
          <w:szCs w:val="28"/>
          <w:highlight w:val="none"/>
          <w:lang w:eastAsia="zh-CN"/>
        </w:rPr>
        <w:t>其他乡村道路交通设施建设遵循如下规定：</w:t>
      </w:r>
    </w:p>
    <w:p>
      <w:pPr>
        <w:pStyle w:val="12"/>
        <w:spacing w:line="360" w:lineRule="auto"/>
        <w:ind w:left="110" w:leftChars="50" w:right="110" w:rightChars="50" w:firstLine="560" w:firstLineChars="200"/>
        <w:rPr>
          <w:highlight w:val="none"/>
          <w:lang w:eastAsia="zh-CN"/>
        </w:rPr>
      </w:pPr>
      <w:r>
        <w:rPr>
          <w:highlight w:val="none"/>
          <w:lang w:eastAsia="zh-CN"/>
        </w:rPr>
        <w:t>（一）</w:t>
      </w:r>
      <w:r>
        <w:rPr>
          <w:rFonts w:hint="eastAsia"/>
          <w:highlight w:val="none"/>
          <w:lang w:eastAsia="zh-CN"/>
        </w:rPr>
        <w:t>乡村公共交通站点（候车亭）宜结合乡村公共交通线路布置，并靠近农村居民点，方便使用</w:t>
      </w:r>
      <w:r>
        <w:rPr>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（二</w:t>
      </w:r>
      <w:r>
        <w:rPr>
          <w:spacing w:val="-56"/>
          <w:highlight w:val="none"/>
          <w:lang w:eastAsia="zh-CN"/>
        </w:rPr>
        <w:t>）</w:t>
      </w:r>
      <w:r>
        <w:rPr>
          <w:rFonts w:hint="eastAsia"/>
          <w:spacing w:val="-3"/>
          <w:highlight w:val="none"/>
          <w:lang w:eastAsia="zh-CN"/>
        </w:rPr>
        <w:t>乡村停车场地布置应结合村庄实际情况可采取集中与分散相结合方式布置，发展乡村旅游的村庄应配置旅游专用停车场地，不宜与村庄村民停车场地混用。宜建设生态停车场的方式，鼓励停车场与晒谷场、广场等复合利用，还应考虑新能源汽车充电需求配置相应的充电停车泊位</w:t>
      </w:r>
      <w:r>
        <w:rPr>
          <w:spacing w:val="-3"/>
          <w:highlight w:val="none"/>
          <w:lang w:eastAsia="zh-CN"/>
        </w:rPr>
        <w:t>。</w:t>
      </w:r>
    </w:p>
    <w:p>
      <w:pPr>
        <w:pStyle w:val="12"/>
        <w:spacing w:line="360" w:lineRule="auto"/>
        <w:ind w:left="110" w:leftChars="50" w:right="110" w:rightChars="50" w:firstLine="560" w:firstLineChars="200"/>
        <w:jc w:val="both"/>
        <w:rPr>
          <w:highlight w:val="none"/>
          <w:lang w:eastAsia="zh-CN"/>
        </w:rPr>
      </w:pPr>
      <w:r>
        <w:rPr>
          <w:highlight w:val="none"/>
          <w:lang w:eastAsia="zh-CN"/>
        </w:rPr>
        <w:t>（三</w:t>
      </w:r>
      <w:r>
        <w:rPr>
          <w:spacing w:val="-3"/>
          <w:highlight w:val="none"/>
          <w:lang w:eastAsia="zh-CN"/>
        </w:rPr>
        <w:t>）</w:t>
      </w:r>
      <w:r>
        <w:rPr>
          <w:rFonts w:hint="eastAsia"/>
          <w:spacing w:val="-6"/>
          <w:highlight w:val="none"/>
          <w:lang w:eastAsia="zh-CN"/>
        </w:rPr>
        <w:t>宜沿主要乡村道路沿线设置路灯，设置间距为20-30米，宜采用太阳能路灯</w:t>
      </w:r>
      <w:r>
        <w:rPr>
          <w:spacing w:val="-3"/>
          <w:highlight w:val="none"/>
          <w:lang w:eastAsia="zh-CN"/>
        </w:rPr>
        <w:t>。</w:t>
      </w:r>
    </w:p>
    <w:p>
      <w:pPr>
        <w:pStyle w:val="12"/>
        <w:spacing w:line="360" w:lineRule="auto"/>
        <w:ind w:left="110" w:leftChars="50" w:right="110" w:rightChars="50" w:firstLine="560" w:firstLineChars="200"/>
        <w:rPr>
          <w:highlight w:val="none"/>
          <w:lang w:eastAsia="zh-CN"/>
        </w:rPr>
      </w:pPr>
      <w:r>
        <w:rPr>
          <w:highlight w:val="none"/>
          <w:lang w:eastAsia="zh-CN"/>
        </w:rPr>
        <w:t>（四）</w:t>
      </w:r>
      <w:r>
        <w:rPr>
          <w:rFonts w:hint="eastAsia"/>
          <w:highlight w:val="none"/>
          <w:lang w:eastAsia="zh-CN"/>
        </w:rPr>
        <w:t>交通安全设施、道路标识等结合国家相关行业建设标准设置</w:t>
      </w:r>
      <w:r>
        <w:rPr>
          <w:highlight w:val="none"/>
          <w:lang w:eastAsia="zh-CN"/>
        </w:rPr>
        <w:t>。</w:t>
      </w:r>
    </w:p>
    <w:p>
      <w:pPr>
        <w:pStyle w:val="12"/>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35" w:name="_bookmark24"/>
      <w:bookmarkEnd w:id="35"/>
      <w:r>
        <w:rPr>
          <w:rFonts w:ascii="微软雅黑" w:hAnsi="微软雅黑" w:eastAsia="微软雅黑" w:cs="微软雅黑"/>
          <w:b/>
          <w:bCs/>
          <w:color w:val="auto"/>
          <w:sz w:val="30"/>
          <w:szCs w:val="30"/>
          <w:highlight w:val="none"/>
          <w:lang w:eastAsia="zh-CN"/>
        </w:rPr>
        <w:t>第二节 乡村建筑设计指引</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六十八</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spacing w:val="-25"/>
          <w:highlight w:val="none"/>
          <w:lang w:eastAsia="zh-CN"/>
        </w:rPr>
        <w:t>应以建设“功能现代、结构安全、成本经济、绿色环保”为原则，宜采用经济、绿色、安全、可靠的乡土建材</w:t>
      </w:r>
      <w:r>
        <w:rPr>
          <w:spacing w:val="-10"/>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六十九</w:t>
      </w:r>
      <w:r>
        <w:rPr>
          <w:rFonts w:hint="eastAsia" w:ascii="微软雅黑" w:hAnsi="微软雅黑" w:eastAsia="微软雅黑"/>
          <w:b/>
          <w:highlight w:val="none"/>
          <w:lang w:eastAsia="zh-CN"/>
        </w:rPr>
        <w:t xml:space="preserve">条 </w:t>
      </w:r>
      <w:r>
        <w:rPr>
          <w:rFonts w:hint="eastAsia"/>
          <w:highlight w:val="none"/>
          <w:lang w:eastAsia="zh-CN"/>
        </w:rPr>
        <w:t>乡村建筑设计应满足通风、采光等建筑环境质量标准的要求，新建、改建建筑不得影响邻里和既有建（构）筑物。乡村建筑抗震、防火、防洪、防雷等安全设计应符合相关规范要求，改建建筑应满足结构承载安全要求</w:t>
      </w:r>
      <w:r>
        <w:rPr>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 xml:space="preserve">第七十条 </w:t>
      </w:r>
      <w:r>
        <w:rPr>
          <w:rFonts w:hint="eastAsia"/>
          <w:highlight w:val="none"/>
          <w:lang w:eastAsia="zh-CN"/>
        </w:rPr>
        <w:t>乡村建筑设计指标应符合乡村建设规划许可、农房建设管理等要求。新建建筑在办理乡村建设规划许可证时，应提供所采用的建筑建设标准图集或计划使用的房屋设计方案，严格实施“带图报建”制度</w:t>
      </w:r>
      <w:r>
        <w:rPr>
          <w:spacing w:val="-3"/>
          <w:highlight w:val="none"/>
          <w:lang w:eastAsia="zh-CN"/>
        </w:rPr>
        <w:t>。</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第七十</w:t>
      </w:r>
      <w:r>
        <w:rPr>
          <w:rFonts w:hint="eastAsia" w:ascii="微软雅黑" w:hAnsi="微软雅黑" w:eastAsia="微软雅黑"/>
          <w:b/>
          <w:highlight w:val="none"/>
          <w:lang w:val="en-US" w:eastAsia="zh-CN"/>
        </w:rPr>
        <w:t>一</w:t>
      </w:r>
      <w:r>
        <w:rPr>
          <w:rFonts w:hint="eastAsia" w:ascii="微软雅黑" w:hAnsi="微软雅黑" w:eastAsia="微软雅黑"/>
          <w:b/>
          <w:highlight w:val="none"/>
          <w:lang w:eastAsia="zh-CN"/>
        </w:rPr>
        <w:t xml:space="preserve">条 </w:t>
      </w:r>
      <w:r>
        <w:rPr>
          <w:rFonts w:hint="eastAsia"/>
          <w:spacing w:val="-13"/>
          <w:highlight w:val="none"/>
          <w:lang w:eastAsia="zh-CN"/>
        </w:rPr>
        <w:t>乡村建筑设计应以地域空间为主体，体现地域特点、民族文化特色的叠加，突出主导性，找寻区域共性和差异，反映传统民居建筑风貌的主要分区，符合其所在地的建筑风貌管控要求，与周边风貌相协调。建设设计风貌还应符合《柳州市农村自建房图集》相关规定要求。</w:t>
      </w: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sectPr>
          <w:pgSz w:w="11910" w:h="16840"/>
          <w:pgMar w:top="1480" w:right="680" w:bottom="880" w:left="980" w:header="850" w:footer="992" w:gutter="0"/>
          <w:cols w:space="720" w:num="1"/>
        </w:sectPr>
      </w:pPr>
      <w:bookmarkStart w:id="36" w:name="_bookmark25"/>
      <w:bookmarkEnd w:id="36"/>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r>
        <w:rPr>
          <w:rFonts w:ascii="微软雅黑" w:hAnsi="微软雅黑" w:eastAsia="微软雅黑" w:cs="微软雅黑"/>
          <w:b/>
          <w:bCs/>
          <w:color w:val="auto"/>
          <w:sz w:val="30"/>
          <w:szCs w:val="30"/>
          <w:highlight w:val="none"/>
          <w:lang w:eastAsia="zh-CN"/>
        </w:rPr>
        <w:t>第三节 历史文化遗产保护管控</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第七十</w:t>
      </w:r>
      <w:r>
        <w:rPr>
          <w:rFonts w:hint="eastAsia" w:ascii="微软雅黑" w:hAnsi="微软雅黑" w:eastAsia="微软雅黑"/>
          <w:b/>
          <w:highlight w:val="none"/>
          <w:lang w:val="en-US" w:eastAsia="zh-CN"/>
        </w:rPr>
        <w:t>二</w:t>
      </w:r>
      <w:r>
        <w:rPr>
          <w:rFonts w:hint="eastAsia" w:ascii="微软雅黑" w:hAnsi="微软雅黑" w:eastAsia="微软雅黑"/>
          <w:b/>
          <w:highlight w:val="none"/>
          <w:lang w:eastAsia="zh-CN"/>
        </w:rPr>
        <w:t xml:space="preserve">条 </w:t>
      </w:r>
      <w:r>
        <w:rPr>
          <w:rFonts w:hint="eastAsia"/>
          <w:highlight w:val="none"/>
          <w:lang w:eastAsia="zh-CN"/>
        </w:rPr>
        <w:t>乡村建设中不得拆除、迁移、破坏文物保护单位、历史建筑、一般不可移动文物等，不得擅自拆除、迁移、破坏其他具备保护价值的历史建（构）筑物。</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第七十</w:t>
      </w:r>
      <w:r>
        <w:rPr>
          <w:rFonts w:hint="eastAsia" w:ascii="微软雅黑" w:hAnsi="微软雅黑" w:eastAsia="微软雅黑"/>
          <w:b/>
          <w:highlight w:val="none"/>
          <w:lang w:val="en-US" w:eastAsia="zh-CN"/>
        </w:rPr>
        <w:t>三</w:t>
      </w:r>
      <w:r>
        <w:rPr>
          <w:rFonts w:hint="eastAsia" w:ascii="微软雅黑" w:hAnsi="微软雅黑" w:eastAsia="微软雅黑"/>
          <w:b/>
          <w:highlight w:val="none"/>
          <w:lang w:eastAsia="zh-CN"/>
        </w:rPr>
        <w:t xml:space="preserve">条 </w:t>
      </w:r>
      <w:r>
        <w:rPr>
          <w:rFonts w:hint="eastAsia"/>
          <w:highlight w:val="none"/>
          <w:lang w:eastAsia="zh-CN"/>
        </w:rPr>
        <w:t>严格控制历史文化名村、传统村落、已划定历史文化保护线的乡村土地开发建设强度和风貌管控，应符合其保护规划和管控要求。在历史文化名村、传统村落、历史文化保护线内以及其周边的各项乡村建设，建筑风貌应符合保护规划的管控要求，并与周边环境相协调。</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第七十</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 xml:space="preserve">条 </w:t>
      </w:r>
      <w:r>
        <w:rPr>
          <w:rFonts w:hint="eastAsia"/>
          <w:highlight w:val="none"/>
          <w:lang w:eastAsia="zh-CN"/>
        </w:rPr>
        <w:t>已纳入传统村落名录和拟申请传统村落的村庄，应按传统村落规划编制要求进行管控。</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第七十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 xml:space="preserve">条 </w:t>
      </w:r>
      <w:r>
        <w:rPr>
          <w:rFonts w:hint="eastAsia"/>
          <w:spacing w:val="-16"/>
          <w:highlight w:val="none"/>
          <w:lang w:eastAsia="zh-CN"/>
        </w:rPr>
        <w:t>不得随意改变文物保护单位、历史建筑、一般不可移动文物及其他具备保护价值的历史建（构）筑物的建筑形态、色彩等，在符合保护规划的管控要求下，可结合乡村发展需求适当活化利用，发展乡村旅游等产业。</w:t>
      </w:r>
    </w:p>
    <w:p>
      <w:pPr>
        <w:pStyle w:val="12"/>
        <w:spacing w:line="360" w:lineRule="auto"/>
        <w:ind w:left="110" w:leftChars="50" w:right="110" w:rightChars="50" w:firstLine="560" w:firstLineChars="200"/>
        <w:rPr>
          <w:highlight w:val="none"/>
          <w:lang w:eastAsia="zh-CN"/>
        </w:rPr>
        <w:sectPr>
          <w:pgSz w:w="11910" w:h="16840"/>
          <w:pgMar w:top="1480" w:right="680" w:bottom="880" w:left="980" w:header="850" w:footer="992" w:gutter="0"/>
          <w:cols w:space="720" w:num="1"/>
        </w:sect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七十六</w:t>
      </w:r>
      <w:r>
        <w:rPr>
          <w:rFonts w:hint="eastAsia" w:ascii="微软雅黑" w:hAnsi="微软雅黑" w:eastAsia="微软雅黑"/>
          <w:b/>
          <w:highlight w:val="none"/>
          <w:lang w:eastAsia="zh-CN"/>
        </w:rPr>
        <w:t xml:space="preserve">条 </w:t>
      </w:r>
      <w:r>
        <w:rPr>
          <w:rFonts w:hint="eastAsia"/>
          <w:highlight w:val="none"/>
          <w:lang w:eastAsia="zh-CN"/>
        </w:rPr>
        <w:t>严格保护非物质文化遗产，乡村建设中应加强保护和延续地方民俗，依托自然环境及自然风光，遵循村庄空间肌理格局，体现地方特色，不随意改变原乡村生活方式。强化非物质文化遗产的保护与传承，乡村建设中宜采用传统建筑的工艺，建筑立面、墙绘、院墙、巷道、景观小品等建（构）筑物的打造可体现乡村文化遗产的元素利用。</w:t>
      </w: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37" w:name="_bookmark26"/>
      <w:bookmarkEnd w:id="37"/>
      <w:r>
        <w:rPr>
          <w:rFonts w:ascii="微软雅黑" w:hAnsi="微软雅黑" w:eastAsia="微软雅黑" w:cs="微软雅黑"/>
          <w:b/>
          <w:bCs/>
          <w:color w:val="auto"/>
          <w:sz w:val="30"/>
          <w:szCs w:val="30"/>
          <w:highlight w:val="none"/>
          <w:lang w:eastAsia="zh-CN"/>
        </w:rPr>
        <w:t>第四节 重点地段建设管控要求</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七十七</w:t>
      </w:r>
      <w:r>
        <w:rPr>
          <w:rFonts w:hint="eastAsia" w:ascii="微软雅黑" w:hAnsi="微软雅黑" w:eastAsia="微软雅黑"/>
          <w:b/>
          <w:highlight w:val="none"/>
          <w:lang w:eastAsia="zh-CN"/>
        </w:rPr>
        <w:t xml:space="preserve">条 </w:t>
      </w:r>
      <w:r>
        <w:rPr>
          <w:rFonts w:hint="eastAsia"/>
          <w:spacing w:val="-16"/>
          <w:highlight w:val="none"/>
          <w:lang w:eastAsia="zh-CN"/>
        </w:rPr>
        <w:t>应加强风景名胜区、公园、景区、旅游区内或位于其周边的村庄乡村规划管理，乡村建设应符合公园、景区、旅游区规划建设的有关要求</w:t>
      </w:r>
      <w:r>
        <w:rPr>
          <w:spacing w:val="-3"/>
          <w:highlight w:val="none"/>
          <w:lang w:eastAsia="zh-CN"/>
        </w:rPr>
        <w:t>。</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七十八</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加强滨水区域建设控制，在符合生态保护红线、洪涝风险控制线、河湖管理范围线、饮用水水源保护区等底线管控要求下，依据《柳州市水系景观和保护规划》，乡村滨水区域建设控制要求参照如下执行</w:t>
      </w:r>
      <w:r>
        <w:rPr>
          <w:spacing w:val="-5"/>
          <w:highlight w:val="none"/>
          <w:lang w:eastAsia="zh-CN"/>
        </w:rPr>
        <w:t>。</w:t>
      </w:r>
    </w:p>
    <w:p>
      <w:pPr>
        <w:spacing w:line="360" w:lineRule="auto"/>
        <w:ind w:left="110" w:leftChars="50" w:right="110" w:rightChars="50" w:firstLine="560" w:firstLineChars="200"/>
        <w:jc w:val="center"/>
        <w:rPr>
          <w:sz w:val="28"/>
          <w:szCs w:val="28"/>
          <w:highlight w:val="none"/>
          <w:lang w:eastAsia="zh-CN"/>
        </w:rPr>
      </w:pPr>
      <w:r>
        <w:rPr>
          <w:rFonts w:hint="eastAsia"/>
          <w:sz w:val="28"/>
          <w:szCs w:val="28"/>
          <w:highlight w:val="none"/>
          <w:lang w:eastAsia="zh-CN"/>
        </w:rPr>
        <w:t xml:space="preserve">表 </w:t>
      </w:r>
      <w:r>
        <w:rPr>
          <w:sz w:val="28"/>
          <w:szCs w:val="28"/>
          <w:highlight w:val="none"/>
          <w:lang w:eastAsia="zh-CN"/>
        </w:rPr>
        <w:t xml:space="preserve">6.3 </w:t>
      </w:r>
      <w:r>
        <w:rPr>
          <w:rFonts w:hint="eastAsia"/>
          <w:sz w:val="28"/>
          <w:szCs w:val="28"/>
          <w:highlight w:val="none"/>
          <w:lang w:val="en-US" w:eastAsia="zh-CN"/>
        </w:rPr>
        <w:t xml:space="preserve"> </w:t>
      </w:r>
      <w:r>
        <w:rPr>
          <w:rFonts w:hint="eastAsia"/>
          <w:sz w:val="28"/>
          <w:szCs w:val="28"/>
          <w:highlight w:val="none"/>
          <w:lang w:eastAsia="zh-CN"/>
        </w:rPr>
        <w:t>鱼峰</w:t>
      </w:r>
      <w:r>
        <w:rPr>
          <w:sz w:val="28"/>
          <w:szCs w:val="28"/>
          <w:highlight w:val="none"/>
          <w:lang w:eastAsia="zh-CN"/>
        </w:rPr>
        <w:t>区水生态保护分区分级控制表</w:t>
      </w:r>
    </w:p>
    <w:tbl>
      <w:tblPr>
        <w:tblStyle w:val="44"/>
        <w:tblW w:w="9741"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6"/>
        <w:gridCol w:w="2269"/>
        <w:gridCol w:w="2958"/>
        <w:gridCol w:w="2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1556" w:type="dxa"/>
          </w:tcPr>
          <w:p>
            <w:pPr>
              <w:pStyle w:val="46"/>
              <w:spacing w:line="360" w:lineRule="auto"/>
              <w:ind w:left="110" w:leftChars="50" w:right="110" w:rightChars="50"/>
              <w:rPr>
                <w:highlight w:val="none"/>
                <w:lang w:eastAsia="zh-CN"/>
              </w:rPr>
            </w:pPr>
            <w:r>
              <w:rPr>
                <w:highlight w:val="none"/>
              </w:rPr>
              <w:t>河道保护级别</w:t>
            </w:r>
          </w:p>
        </w:tc>
        <w:tc>
          <w:tcPr>
            <w:tcW w:w="2269" w:type="dxa"/>
          </w:tcPr>
          <w:p>
            <w:pPr>
              <w:pStyle w:val="46"/>
              <w:spacing w:line="360" w:lineRule="auto"/>
              <w:ind w:left="110" w:leftChars="50" w:right="110" w:rightChars="50"/>
              <w:rPr>
                <w:highlight w:val="none"/>
              </w:rPr>
            </w:pPr>
            <w:r>
              <w:rPr>
                <w:highlight w:val="none"/>
              </w:rPr>
              <w:t>涉及水系</w:t>
            </w:r>
          </w:p>
        </w:tc>
        <w:tc>
          <w:tcPr>
            <w:tcW w:w="2958" w:type="dxa"/>
          </w:tcPr>
          <w:p>
            <w:pPr>
              <w:pStyle w:val="46"/>
              <w:spacing w:line="360" w:lineRule="auto"/>
              <w:ind w:left="110" w:leftChars="50" w:right="110" w:rightChars="50"/>
              <w:rPr>
                <w:highlight w:val="none"/>
                <w:lang w:eastAsia="zh-CN"/>
              </w:rPr>
            </w:pPr>
            <w:r>
              <w:rPr>
                <w:highlight w:val="none"/>
                <w:lang w:eastAsia="zh-CN"/>
              </w:rPr>
              <w:t>水生态核心保护区（米）</w:t>
            </w:r>
          </w:p>
        </w:tc>
        <w:tc>
          <w:tcPr>
            <w:tcW w:w="2958" w:type="dxa"/>
          </w:tcPr>
          <w:p>
            <w:pPr>
              <w:pStyle w:val="46"/>
              <w:spacing w:line="360" w:lineRule="auto"/>
              <w:ind w:left="110" w:leftChars="50" w:right="110" w:rightChars="50"/>
              <w:rPr>
                <w:highlight w:val="none"/>
                <w:lang w:eastAsia="zh-CN"/>
              </w:rPr>
            </w:pPr>
            <w:r>
              <w:rPr>
                <w:highlight w:val="none"/>
                <w:lang w:eastAsia="zh-CN"/>
              </w:rPr>
              <w:t>水生态控制保护区（米）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1556" w:type="dxa"/>
          </w:tcPr>
          <w:p>
            <w:pPr>
              <w:pStyle w:val="46"/>
              <w:spacing w:line="360" w:lineRule="auto"/>
              <w:ind w:left="110" w:leftChars="50" w:right="110" w:rightChars="50"/>
              <w:rPr>
                <w:highlight w:val="none"/>
              </w:rPr>
            </w:pPr>
            <w:r>
              <w:rPr>
                <w:highlight w:val="none"/>
              </w:rPr>
              <w:t>一级</w:t>
            </w:r>
          </w:p>
        </w:tc>
        <w:tc>
          <w:tcPr>
            <w:tcW w:w="2269" w:type="dxa"/>
          </w:tcPr>
          <w:p>
            <w:pPr>
              <w:pStyle w:val="46"/>
              <w:spacing w:line="360" w:lineRule="auto"/>
              <w:ind w:left="110" w:leftChars="50" w:right="110" w:rightChars="50"/>
              <w:rPr>
                <w:highlight w:val="none"/>
                <w:lang w:eastAsia="zh-CN"/>
              </w:rPr>
            </w:pPr>
            <w:r>
              <w:rPr>
                <w:highlight w:val="none"/>
              </w:rPr>
              <w:t>柳江</w:t>
            </w:r>
          </w:p>
        </w:tc>
        <w:tc>
          <w:tcPr>
            <w:tcW w:w="2958" w:type="dxa"/>
          </w:tcPr>
          <w:p>
            <w:pPr>
              <w:pStyle w:val="46"/>
              <w:spacing w:line="360" w:lineRule="auto"/>
              <w:ind w:left="110" w:leftChars="50" w:right="110" w:rightChars="50"/>
              <w:rPr>
                <w:highlight w:val="none"/>
              </w:rPr>
            </w:pPr>
            <w:r>
              <w:rPr>
                <w:highlight w:val="none"/>
              </w:rPr>
              <w:t>—</w:t>
            </w:r>
          </w:p>
        </w:tc>
        <w:tc>
          <w:tcPr>
            <w:tcW w:w="2958" w:type="dxa"/>
          </w:tcPr>
          <w:p>
            <w:pPr>
              <w:pStyle w:val="46"/>
              <w:spacing w:line="360" w:lineRule="auto"/>
              <w:ind w:left="110" w:leftChars="50" w:right="110" w:rightChars="50"/>
              <w:rPr>
                <w:highlight w:val="none"/>
              </w:rPr>
            </w:pPr>
            <w:r>
              <w:rPr>
                <w:highlight w:val="none"/>
              </w:rPr>
              <w:t>80-100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1556" w:type="dxa"/>
            <w:vMerge w:val="restart"/>
          </w:tcPr>
          <w:p>
            <w:pPr>
              <w:pStyle w:val="46"/>
              <w:spacing w:line="360" w:lineRule="auto"/>
              <w:ind w:left="110" w:leftChars="50" w:right="110" w:rightChars="50"/>
              <w:rPr>
                <w:highlight w:val="none"/>
              </w:rPr>
            </w:pPr>
            <w:r>
              <w:rPr>
                <w:highlight w:val="none"/>
              </w:rPr>
              <w:t>二级</w:t>
            </w:r>
          </w:p>
        </w:tc>
        <w:tc>
          <w:tcPr>
            <w:tcW w:w="2269" w:type="dxa"/>
            <w:vMerge w:val="restart"/>
          </w:tcPr>
          <w:p>
            <w:pPr>
              <w:pStyle w:val="46"/>
              <w:spacing w:line="360" w:lineRule="auto"/>
              <w:ind w:left="110" w:leftChars="50" w:right="110" w:rightChars="50"/>
              <w:rPr>
                <w:highlight w:val="none"/>
              </w:rPr>
            </w:pPr>
            <w:r>
              <w:rPr>
                <w:rFonts w:hint="eastAsia"/>
                <w:highlight w:val="none"/>
                <w:lang w:eastAsia="zh-CN"/>
              </w:rPr>
              <w:t>洛清江、大桥河、</w:t>
            </w:r>
          </w:p>
        </w:tc>
        <w:tc>
          <w:tcPr>
            <w:tcW w:w="2958" w:type="dxa"/>
          </w:tcPr>
          <w:p>
            <w:pPr>
              <w:pStyle w:val="46"/>
              <w:spacing w:line="360" w:lineRule="auto"/>
              <w:ind w:left="110" w:leftChars="50" w:right="110" w:rightChars="50"/>
              <w:rPr>
                <w:highlight w:val="none"/>
              </w:rPr>
            </w:pPr>
            <w:r>
              <w:rPr>
                <w:highlight w:val="none"/>
              </w:rPr>
              <w:t>&gt;15</w:t>
            </w:r>
          </w:p>
        </w:tc>
        <w:tc>
          <w:tcPr>
            <w:tcW w:w="2958" w:type="dxa"/>
          </w:tcPr>
          <w:p>
            <w:pPr>
              <w:pStyle w:val="46"/>
              <w:spacing w:line="360" w:lineRule="auto"/>
              <w:ind w:left="110" w:leftChars="50" w:right="110" w:rightChars="50"/>
              <w:rPr>
                <w:highlight w:val="none"/>
              </w:rPr>
            </w:pPr>
            <w:r>
              <w:rPr>
                <w:highlight w:val="none"/>
              </w:rPr>
              <w:t>50-80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1556" w:type="dxa"/>
            <w:vMerge w:val="continue"/>
            <w:tcBorders>
              <w:top w:val="nil"/>
            </w:tcBorders>
          </w:tcPr>
          <w:p>
            <w:pPr>
              <w:spacing w:line="360" w:lineRule="auto"/>
              <w:ind w:left="110" w:leftChars="50" w:right="110" w:rightChars="50"/>
              <w:rPr>
                <w:highlight w:val="none"/>
              </w:rPr>
            </w:pPr>
          </w:p>
        </w:tc>
        <w:tc>
          <w:tcPr>
            <w:tcW w:w="2269" w:type="dxa"/>
            <w:vMerge w:val="continue"/>
            <w:tcBorders>
              <w:top w:val="nil"/>
            </w:tcBorders>
          </w:tcPr>
          <w:p>
            <w:pPr>
              <w:spacing w:line="360" w:lineRule="auto"/>
              <w:ind w:left="110" w:leftChars="50" w:right="110" w:rightChars="50"/>
              <w:rPr>
                <w:highlight w:val="none"/>
              </w:rPr>
            </w:pPr>
          </w:p>
        </w:tc>
        <w:tc>
          <w:tcPr>
            <w:tcW w:w="2958" w:type="dxa"/>
          </w:tcPr>
          <w:p>
            <w:pPr>
              <w:pStyle w:val="46"/>
              <w:spacing w:line="360" w:lineRule="auto"/>
              <w:ind w:left="110" w:leftChars="50" w:right="110" w:rightChars="50"/>
              <w:rPr>
                <w:highlight w:val="none"/>
              </w:rPr>
            </w:pPr>
            <w:r>
              <w:rPr>
                <w:highlight w:val="none"/>
              </w:rPr>
              <w:t>10-15</w:t>
            </w:r>
          </w:p>
        </w:tc>
        <w:tc>
          <w:tcPr>
            <w:tcW w:w="2958" w:type="dxa"/>
          </w:tcPr>
          <w:p>
            <w:pPr>
              <w:pStyle w:val="46"/>
              <w:spacing w:line="360" w:lineRule="auto"/>
              <w:ind w:left="110" w:leftChars="50" w:right="110" w:rightChars="50"/>
              <w:rPr>
                <w:highlight w:val="none"/>
              </w:rPr>
            </w:pPr>
            <w:r>
              <w:rPr>
                <w:highlight w:val="none"/>
              </w:rPr>
              <w:t>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1556" w:type="dxa"/>
            <w:vMerge w:val="restart"/>
          </w:tcPr>
          <w:p>
            <w:pPr>
              <w:pStyle w:val="46"/>
              <w:spacing w:line="360" w:lineRule="auto"/>
              <w:ind w:left="110" w:leftChars="50" w:right="110" w:rightChars="50"/>
              <w:rPr>
                <w:highlight w:val="none"/>
              </w:rPr>
            </w:pPr>
            <w:r>
              <w:rPr>
                <w:highlight w:val="none"/>
              </w:rPr>
              <w:t>三级</w:t>
            </w:r>
          </w:p>
        </w:tc>
        <w:tc>
          <w:tcPr>
            <w:tcW w:w="2269" w:type="dxa"/>
            <w:vMerge w:val="restart"/>
          </w:tcPr>
          <w:p>
            <w:pPr>
              <w:pStyle w:val="46"/>
              <w:spacing w:line="360" w:lineRule="auto"/>
              <w:ind w:left="110" w:leftChars="50" w:right="110" w:rightChars="50"/>
              <w:jc w:val="left"/>
              <w:rPr>
                <w:highlight w:val="none"/>
                <w:lang w:eastAsia="zh-CN"/>
              </w:rPr>
            </w:pPr>
            <w:r>
              <w:rPr>
                <w:rFonts w:hint="eastAsia"/>
                <w:highlight w:val="none"/>
                <w:lang w:eastAsia="zh-CN"/>
              </w:rPr>
              <w:t>三千河、里雍河、红罗江、高龙河</w:t>
            </w:r>
          </w:p>
        </w:tc>
        <w:tc>
          <w:tcPr>
            <w:tcW w:w="2958" w:type="dxa"/>
          </w:tcPr>
          <w:p>
            <w:pPr>
              <w:pStyle w:val="46"/>
              <w:spacing w:line="360" w:lineRule="auto"/>
              <w:ind w:left="110" w:leftChars="50" w:right="110" w:rightChars="50"/>
              <w:rPr>
                <w:highlight w:val="none"/>
              </w:rPr>
            </w:pPr>
            <w:r>
              <w:rPr>
                <w:highlight w:val="none"/>
              </w:rPr>
              <w:t>8-10</w:t>
            </w:r>
          </w:p>
        </w:tc>
        <w:tc>
          <w:tcPr>
            <w:tcW w:w="2958" w:type="dxa"/>
          </w:tcPr>
          <w:p>
            <w:pPr>
              <w:pStyle w:val="46"/>
              <w:spacing w:line="360" w:lineRule="auto"/>
              <w:ind w:left="110" w:leftChars="50" w:right="110" w:rightChars="50"/>
              <w:rPr>
                <w:highlight w:val="none"/>
              </w:rPr>
            </w:pPr>
            <w:r>
              <w:rPr>
                <w:highlight w:val="none"/>
              </w:rPr>
              <w:t>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1556" w:type="dxa"/>
            <w:vMerge w:val="continue"/>
            <w:tcBorders>
              <w:top w:val="nil"/>
            </w:tcBorders>
          </w:tcPr>
          <w:p>
            <w:pPr>
              <w:spacing w:line="360" w:lineRule="auto"/>
              <w:ind w:left="110" w:leftChars="50" w:right="110" w:rightChars="50"/>
              <w:rPr>
                <w:highlight w:val="none"/>
              </w:rPr>
            </w:pPr>
          </w:p>
        </w:tc>
        <w:tc>
          <w:tcPr>
            <w:tcW w:w="2269" w:type="dxa"/>
            <w:vMerge w:val="continue"/>
            <w:tcBorders>
              <w:top w:val="nil"/>
            </w:tcBorders>
          </w:tcPr>
          <w:p>
            <w:pPr>
              <w:spacing w:line="360" w:lineRule="auto"/>
              <w:ind w:left="110" w:leftChars="50" w:right="110" w:rightChars="50"/>
              <w:rPr>
                <w:highlight w:val="none"/>
              </w:rPr>
            </w:pPr>
          </w:p>
        </w:tc>
        <w:tc>
          <w:tcPr>
            <w:tcW w:w="2958" w:type="dxa"/>
          </w:tcPr>
          <w:p>
            <w:pPr>
              <w:pStyle w:val="46"/>
              <w:spacing w:line="360" w:lineRule="auto"/>
              <w:ind w:left="110" w:leftChars="50" w:right="110" w:rightChars="50"/>
              <w:rPr>
                <w:highlight w:val="none"/>
              </w:rPr>
            </w:pPr>
            <w:r>
              <w:rPr>
                <w:highlight w:val="none"/>
              </w:rPr>
              <w:t>5-8</w:t>
            </w:r>
          </w:p>
        </w:tc>
        <w:tc>
          <w:tcPr>
            <w:tcW w:w="2958" w:type="dxa"/>
          </w:tcPr>
          <w:p>
            <w:pPr>
              <w:pStyle w:val="46"/>
              <w:spacing w:line="360" w:lineRule="auto"/>
              <w:ind w:left="110" w:leftChars="50" w:right="110" w:rightChars="50"/>
              <w:rPr>
                <w:highlight w:val="none"/>
              </w:rPr>
            </w:pPr>
            <w:r>
              <w:rPr>
                <w:highlight w:val="none"/>
              </w:rPr>
              <w:t>10-15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4" w:hRule="atLeast"/>
        </w:trPr>
        <w:tc>
          <w:tcPr>
            <w:tcW w:w="9741" w:type="dxa"/>
            <w:gridSpan w:val="4"/>
          </w:tcPr>
          <w:p>
            <w:pPr>
              <w:pStyle w:val="46"/>
              <w:spacing w:line="360" w:lineRule="auto"/>
              <w:ind w:left="110" w:leftChars="50" w:right="110" w:rightChars="50"/>
              <w:jc w:val="left"/>
              <w:rPr>
                <w:highlight w:val="none"/>
                <w:lang w:eastAsia="zh-CN"/>
              </w:rPr>
            </w:pPr>
            <w:r>
              <w:rPr>
                <w:spacing w:val="-4"/>
                <w:highlight w:val="none"/>
                <w:lang w:eastAsia="zh-CN"/>
              </w:rPr>
              <w:t>水生态协调建设区划定，一级保护河道原则上以沿水域线外延200米及水域宽度的1/2倍叠加的区域为协调建设范围；二级保护河道原则上以沿水域线外延100米及水域宽度的1/2倍叠加的区域为协调建设范围；三级保护河道原则上以沿水域线外延30-50米及水域宽度的1/2倍叠加的区域为协调建设范围。</w:t>
            </w:r>
          </w:p>
        </w:tc>
      </w:tr>
    </w:tbl>
    <w:p>
      <w:pPr>
        <w:spacing w:line="360" w:lineRule="auto"/>
        <w:ind w:left="110" w:leftChars="50" w:right="110" w:rightChars="50" w:firstLine="440" w:firstLineChars="200"/>
        <w:rPr>
          <w:highlight w:val="none"/>
          <w:lang w:eastAsia="zh-CN"/>
        </w:rPr>
      </w:pPr>
      <w:r>
        <w:rPr>
          <w:highlight w:val="none"/>
          <w:lang w:eastAsia="zh-CN"/>
        </w:rPr>
        <w:t>注：1、水生态核心保护区为禁止开发区，应严格遵守相关条例规定进行保护。</w:t>
      </w:r>
    </w:p>
    <w:p>
      <w:pPr>
        <w:spacing w:line="360" w:lineRule="auto"/>
        <w:ind w:left="110" w:leftChars="50" w:right="110" w:rightChars="50" w:firstLine="440" w:firstLineChars="200"/>
        <w:rPr>
          <w:highlight w:val="none"/>
          <w:lang w:eastAsia="zh-CN"/>
        </w:rPr>
      </w:pPr>
      <w:r>
        <w:rPr>
          <w:rFonts w:hint="eastAsia"/>
          <w:highlight w:val="none"/>
          <w:lang w:eastAsia="zh-CN"/>
        </w:rPr>
        <w:t>2.</w:t>
      </w:r>
      <w:r>
        <w:rPr>
          <w:highlight w:val="none"/>
          <w:lang w:eastAsia="zh-CN"/>
        </w:rPr>
        <w:t>水生态控制保护区内建筑一般不超过24米且临水连续长度不超过100米。</w:t>
      </w:r>
    </w:p>
    <w:p>
      <w:pPr>
        <w:spacing w:line="360" w:lineRule="auto"/>
        <w:ind w:left="110" w:leftChars="50" w:right="110" w:rightChars="50" w:firstLine="440" w:firstLineChars="200"/>
        <w:rPr>
          <w:highlight w:val="none"/>
          <w:lang w:eastAsia="zh-CN"/>
        </w:rPr>
      </w:pPr>
      <w:r>
        <w:rPr>
          <w:rFonts w:hint="eastAsia"/>
          <w:highlight w:val="none"/>
          <w:lang w:eastAsia="zh-CN"/>
        </w:rPr>
        <w:t>3.</w:t>
      </w:r>
      <w:r>
        <w:rPr>
          <w:highlight w:val="none"/>
          <w:lang w:eastAsia="zh-CN"/>
        </w:rPr>
        <w:t>水生态协调建设区内不应形成连续的界面，宜形成“前疏后密、疏密有致”的建筑格局。</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w:t>
      </w:r>
      <w:r>
        <w:rPr>
          <w:rFonts w:hint="eastAsia" w:ascii="微软雅黑" w:hAnsi="微软雅黑" w:eastAsia="微软雅黑"/>
          <w:b/>
          <w:highlight w:val="none"/>
          <w:lang w:val="en-US" w:eastAsia="zh-CN"/>
        </w:rPr>
        <w:t>七十九</w:t>
      </w:r>
      <w:r>
        <w:rPr>
          <w:rFonts w:hint="eastAsia" w:ascii="微软雅黑" w:hAnsi="微软雅黑" w:eastAsia="微软雅黑"/>
          <w:b/>
          <w:highlight w:val="none"/>
          <w:lang w:eastAsia="zh-CN"/>
        </w:rPr>
        <w:t>条</w:t>
      </w:r>
      <w:r>
        <w:rPr>
          <w:rFonts w:hint="eastAsia"/>
          <w:spacing w:val="-15"/>
          <w:highlight w:val="none"/>
          <w:lang w:eastAsia="zh-CN"/>
        </w:rPr>
        <w:t xml:space="preserve"> 加强滨水岸线乡村建设指引，严格保护自然水系岸线，不得随意侵占河岸空间。乡村建设应体现滨水空间的“公共性”，滨水码头、平台、慢行步道等滨水设施建设应符合安全、连续和可达性的要求，便于村民休闲活动。（鱼峰区滨水岸线乡村建设指引详见附表</w:t>
      </w:r>
      <w:r>
        <w:rPr>
          <w:rFonts w:hint="eastAsia"/>
          <w:spacing w:val="-15"/>
          <w:highlight w:val="none"/>
          <w:lang w:val="en-US" w:eastAsia="zh-CN"/>
        </w:rPr>
        <w:t>九</w:t>
      </w:r>
      <w:r>
        <w:rPr>
          <w:rFonts w:hint="eastAsia"/>
          <w:spacing w:val="-15"/>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第八十条</w:t>
      </w:r>
      <w:r>
        <w:rPr>
          <w:rFonts w:hint="eastAsia" w:ascii="微软雅黑" w:hAnsi="微软雅黑" w:eastAsia="微软雅黑"/>
          <w:b/>
          <w:highlight w:val="none"/>
          <w:lang w:val="en-US" w:eastAsia="zh-CN"/>
        </w:rPr>
        <w:t xml:space="preserve"> </w:t>
      </w:r>
      <w:r>
        <w:rPr>
          <w:highlight w:val="none"/>
          <w:lang w:eastAsia="zh-CN"/>
        </w:rPr>
        <w:t>加强高速铁路、高速公路和国道、省道等沿线区域乡村地区的人</w:t>
      </w:r>
      <w:r>
        <w:rPr>
          <w:rFonts w:hint="eastAsia"/>
          <w:highlight w:val="none"/>
          <w:lang w:eastAsia="zh-CN"/>
        </w:rPr>
        <w:t>居环境整治，乡村风貌提升改造应彰显桂风壮韵</w:t>
      </w:r>
      <w:r>
        <w:rPr>
          <w:highlight w:val="none"/>
          <w:lang w:eastAsia="zh-CN"/>
        </w:rPr>
        <w:t>。</w:t>
      </w:r>
    </w:p>
    <w:p>
      <w:pPr>
        <w:pStyle w:val="12"/>
        <w:tabs>
          <w:tab w:val="left" w:pos="2200"/>
        </w:tabs>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第八十</w:t>
      </w:r>
      <w:r>
        <w:rPr>
          <w:rFonts w:hint="eastAsia" w:ascii="微软雅黑" w:hAnsi="微软雅黑" w:eastAsia="微软雅黑"/>
          <w:b/>
          <w:highlight w:val="none"/>
          <w:lang w:val="en-US" w:eastAsia="zh-CN"/>
        </w:rPr>
        <w:t>一</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highlight w:val="none"/>
          <w:lang w:eastAsia="zh-CN"/>
        </w:rPr>
        <w:t>乡村建设不得影响区域交通的行车通达性、安全性等要求，禁止修建或张挂影响交通行车视线的建（构）筑物或横幅等</w:t>
      </w:r>
      <w:r>
        <w:rPr>
          <w:highlight w:val="none"/>
          <w:lang w:eastAsia="zh-CN"/>
        </w:rPr>
        <w:t>。</w:t>
      </w:r>
    </w:p>
    <w:p>
      <w:pPr>
        <w:pStyle w:val="5"/>
        <w:keepNext w:val="0"/>
        <w:keepLines w:val="0"/>
        <w:numPr>
          <w:ilvl w:val="0"/>
          <w:numId w:val="3"/>
        </w:numPr>
        <w:spacing w:before="0" w:after="0"/>
        <w:ind w:right="296"/>
        <w:jc w:val="center"/>
        <w:rPr>
          <w:rFonts w:hint="eastAsia" w:ascii="微软雅黑" w:hAnsi="微软雅黑" w:eastAsia="微软雅黑" w:cs="微软雅黑"/>
          <w:b/>
          <w:bCs/>
          <w:color w:val="auto"/>
          <w:sz w:val="30"/>
          <w:szCs w:val="30"/>
          <w:highlight w:val="none"/>
          <w:lang w:eastAsia="zh-CN"/>
        </w:rPr>
      </w:pPr>
      <w:r>
        <w:rPr>
          <w:rFonts w:hint="eastAsia" w:ascii="微软雅黑" w:hAnsi="微软雅黑" w:eastAsia="微软雅黑" w:cs="微软雅黑"/>
          <w:b/>
          <w:bCs/>
          <w:color w:val="auto"/>
          <w:sz w:val="30"/>
          <w:szCs w:val="30"/>
          <w:highlight w:val="none"/>
          <w:lang w:eastAsia="zh-CN"/>
        </w:rPr>
        <w:t>生态修复及国土空间整治相关</w:t>
      </w:r>
      <w:r>
        <w:rPr>
          <w:rFonts w:hint="eastAsia" w:ascii="微软雅黑" w:hAnsi="微软雅黑" w:eastAsia="微软雅黑" w:cs="微软雅黑"/>
          <w:b/>
          <w:bCs/>
          <w:color w:val="auto"/>
          <w:sz w:val="30"/>
          <w:szCs w:val="30"/>
          <w:highlight w:val="none"/>
          <w:lang w:val="en-US" w:eastAsia="zh-CN"/>
        </w:rPr>
        <w:t>要求</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560" w:firstLineChars="200"/>
        <w:textAlignment w:val="auto"/>
        <w:rPr>
          <w:rFonts w:hint="eastAsia"/>
          <w:highlight w:val="none"/>
          <w:lang w:val="en-US" w:eastAsia="zh-CN"/>
        </w:rPr>
      </w:pPr>
      <w:r>
        <w:rPr>
          <w:rFonts w:hint="eastAsia" w:ascii="微软雅黑" w:hAnsi="微软雅黑" w:eastAsia="微软雅黑"/>
          <w:b/>
          <w:highlight w:val="none"/>
          <w:lang w:val="en-US" w:eastAsia="zh-CN"/>
        </w:rPr>
        <w:t xml:space="preserve">第八十二条 </w:t>
      </w:r>
      <w:r>
        <w:rPr>
          <w:rFonts w:hint="eastAsia"/>
          <w:spacing w:val="-15"/>
          <w:highlight w:val="none"/>
          <w:lang w:val="en-US" w:eastAsia="zh-CN"/>
        </w:rPr>
        <w:t>依据《广西壮族自治区国土空间规划（2021—2035年）》、《柳州市国土空间总体规划（2021-2035年）》，以国土空间问题治理、乡村生态环境治理修复与景观提升为主导，以实施国土空间治理与生态修复为重要抓手，着力解决乡村土地资源利用低效化、空间布局无序化、生态质量退化等综合性问题，提升国土空间开发利用与资源环境承载能力之间的匹配程度，构建“山青、水秀、田优、村美、景丽”的村域空间发展格局。相关管控规则应按国家及广西壮族自治区规定执行。</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560" w:firstLineChars="200"/>
        <w:textAlignment w:val="auto"/>
        <w:rPr>
          <w:rFonts w:hint="default"/>
          <w:highlight w:val="none"/>
          <w:lang w:val="en-US" w:eastAsia="zh-CN"/>
        </w:rPr>
      </w:pPr>
      <w:r>
        <w:rPr>
          <w:rFonts w:hint="eastAsia" w:ascii="微软雅黑" w:hAnsi="微软雅黑" w:eastAsia="微软雅黑"/>
          <w:b/>
          <w:highlight w:val="none"/>
          <w:lang w:val="en-US" w:eastAsia="zh-CN"/>
        </w:rPr>
        <w:t>第八十三条</w:t>
      </w:r>
      <w:r>
        <w:rPr>
          <w:rFonts w:hint="eastAsia"/>
          <w:highlight w:val="none"/>
          <w:lang w:val="en-US" w:eastAsia="zh-CN"/>
        </w:rPr>
        <w:t xml:space="preserve"> </w:t>
      </w:r>
      <w:r>
        <w:rPr>
          <w:rFonts w:hint="default"/>
          <w:color w:val="auto"/>
          <w:spacing w:val="0"/>
          <w:position w:val="0"/>
          <w:highlight w:val="none"/>
          <w:lang w:val="en-US" w:eastAsia="zh-CN"/>
        </w:rPr>
        <w:t>根据</w:t>
      </w:r>
      <w:r>
        <w:rPr>
          <w:rFonts w:hint="eastAsia"/>
          <w:color w:val="auto"/>
          <w:spacing w:val="0"/>
          <w:position w:val="0"/>
          <w:highlight w:val="none"/>
          <w:lang w:val="en-US" w:eastAsia="zh-CN"/>
        </w:rPr>
        <w:t>各村</w:t>
      </w:r>
      <w:r>
        <w:rPr>
          <w:rFonts w:hint="default"/>
          <w:color w:val="auto"/>
          <w:spacing w:val="0"/>
          <w:position w:val="0"/>
          <w:highlight w:val="none"/>
          <w:lang w:val="en-US" w:eastAsia="zh-CN"/>
        </w:rPr>
        <w:t>各类型的潜力分布情况，统筹安排农用地整理类、建设用地整理类和生态修复类项目。</w:t>
      </w:r>
      <w:r>
        <w:rPr>
          <w:rFonts w:hint="eastAsia"/>
          <w:color w:val="auto"/>
          <w:spacing w:val="0"/>
          <w:position w:val="0"/>
          <w:highlight w:val="none"/>
          <w:lang w:val="en-US" w:eastAsia="zh-CN"/>
        </w:rPr>
        <w:t>生态</w:t>
      </w:r>
      <w:r>
        <w:rPr>
          <w:rFonts w:hint="eastAsia"/>
          <w:highlight w:val="none"/>
          <w:lang w:val="en-US" w:eastAsia="zh-CN"/>
        </w:rPr>
        <w:t>修复及国土空间整治内容，如下：</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500" w:firstLineChars="200"/>
        <w:jc w:val="both"/>
        <w:textAlignment w:val="auto"/>
        <w:rPr>
          <w:rFonts w:hint="eastAsia"/>
          <w:spacing w:val="-15"/>
          <w:highlight w:val="none"/>
          <w:lang w:val="en-US" w:eastAsia="zh-CN"/>
        </w:rPr>
      </w:pPr>
      <w:r>
        <w:rPr>
          <w:rFonts w:hint="eastAsia"/>
          <w:spacing w:val="-15"/>
          <w:highlight w:val="none"/>
          <w:lang w:val="en-US" w:eastAsia="zh-CN"/>
        </w:rPr>
        <w:t>（一）开展农用地整理，提高耕地利用率。通过实施高标准农田建设、耕地提质改造、宜耕农用地整理和宜耕未利用地整理这四类农用地整理项目，改善农业基础设施条件，提高农用地质量，为产业项目落地提供良好农业生产条件。优化耕地多功能布局，有效引导耕地集中连片。加强道路、沟渠、防护林的综合整治，推进土地平整等工程措施，增加有效耕地面积，提高村庄耕地利用率。</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500" w:firstLineChars="200"/>
        <w:jc w:val="both"/>
        <w:textAlignment w:val="auto"/>
        <w:rPr>
          <w:rFonts w:hint="eastAsia"/>
          <w:spacing w:val="-15"/>
          <w:highlight w:val="none"/>
          <w:lang w:val="en-US" w:eastAsia="zh-CN"/>
        </w:rPr>
      </w:pPr>
      <w:r>
        <w:rPr>
          <w:rFonts w:hint="eastAsia"/>
          <w:spacing w:val="-15"/>
          <w:highlight w:val="none"/>
          <w:lang w:val="en-US" w:eastAsia="zh-CN"/>
        </w:rPr>
        <w:t>（二）实施建设用地整理，提高土地利用效率。统筹安排建设用地整理，以闲置房屋、空闲地整治改造为重点，推进农村建设用地整理，加快新农村规划和建设。加快工矿废弃地的复垦利用，提高资源利用效率。</w:t>
      </w:r>
    </w:p>
    <w:p>
      <w:pPr>
        <w:pStyle w:val="12"/>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500" w:firstLineChars="200"/>
        <w:jc w:val="both"/>
        <w:textAlignment w:val="auto"/>
        <w:rPr>
          <w:rFonts w:hint="eastAsia"/>
          <w:spacing w:val="-15"/>
          <w:highlight w:val="none"/>
          <w:lang w:val="en-US" w:eastAsia="zh-CN"/>
        </w:rPr>
      </w:pPr>
      <w:r>
        <w:rPr>
          <w:rFonts w:hint="eastAsia"/>
          <w:spacing w:val="-15"/>
          <w:highlight w:val="none"/>
          <w:lang w:val="en-US" w:eastAsia="zh-CN"/>
        </w:rPr>
        <w:t>（三）生态系统整体修复与功能综合提升。在村庄生态系统类型比较丰富、生态环境脆弱性较高的地区，针对生态系统存在的突出问题，综合采取地质灾害治理、水环境治理、农村人居环境治理和风貌提升工程等多种手段，促进生态系统修复工作的协调推进，逐步恢复各村生态系统各项功能，提升生态服务功能。</w:t>
      </w:r>
    </w:p>
    <w:p>
      <w:pPr>
        <w:pStyle w:val="12"/>
        <w:spacing w:line="360" w:lineRule="auto"/>
        <w:ind w:left="110" w:leftChars="50" w:right="110" w:rightChars="50" w:firstLine="560" w:firstLineChars="200"/>
        <w:rPr>
          <w:rFonts w:hint="default"/>
          <w:color w:val="auto"/>
          <w:spacing w:val="0"/>
          <w:position w:val="0"/>
          <w:highlight w:val="none"/>
          <w:lang w:val="en-US" w:eastAsia="zh-CN"/>
        </w:rPr>
      </w:pPr>
    </w:p>
    <w:p>
      <w:pPr>
        <w:numPr>
          <w:ilvl w:val="0"/>
          <w:numId w:val="0"/>
        </w:numPr>
        <w:rPr>
          <w:rFonts w:hint="eastAsia" w:ascii="仿宋" w:hAnsi="仿宋" w:eastAsia="仿宋" w:cs="仿宋"/>
          <w:sz w:val="28"/>
          <w:szCs w:val="28"/>
          <w:highlight w:val="none"/>
          <w:lang w:val="en-US" w:eastAsia="zh-CN" w:bidi="ar-SA"/>
        </w:rPr>
      </w:pPr>
    </w:p>
    <w:p>
      <w:pPr>
        <w:pStyle w:val="12"/>
        <w:tabs>
          <w:tab w:val="left" w:pos="2200"/>
        </w:tabs>
        <w:spacing w:line="360" w:lineRule="auto"/>
        <w:ind w:left="110" w:leftChars="50" w:right="110" w:rightChars="50" w:firstLine="560" w:firstLineChars="200"/>
        <w:rPr>
          <w:rFonts w:hint="eastAsia" w:ascii="仿宋" w:hAnsi="仿宋" w:eastAsia="仿宋" w:cs="仿宋"/>
          <w:sz w:val="28"/>
          <w:szCs w:val="28"/>
          <w:highlight w:val="none"/>
          <w:lang w:val="en-US" w:eastAsia="zh-CN" w:bidi="ar-SA"/>
        </w:rPr>
        <w:sectPr>
          <w:pgSz w:w="11910" w:h="16840"/>
          <w:pgMar w:top="1480" w:right="680" w:bottom="880" w:left="980" w:header="850" w:footer="992" w:gutter="0"/>
          <w:cols w:space="720" w:num="1"/>
        </w:sectPr>
      </w:pPr>
    </w:p>
    <w:p>
      <w:pPr>
        <w:pStyle w:val="2"/>
        <w:keepNext w:val="0"/>
        <w:keepLines w:val="0"/>
        <w:spacing w:before="0" w:after="0"/>
        <w:ind w:right="296"/>
        <w:jc w:val="center"/>
        <w:rPr>
          <w:rFonts w:ascii="微软雅黑" w:hAnsi="微软雅黑" w:eastAsia="微软雅黑" w:cs="微软雅黑"/>
          <w:b/>
          <w:bCs/>
          <w:color w:val="auto"/>
          <w:sz w:val="32"/>
          <w:szCs w:val="32"/>
          <w:highlight w:val="none"/>
          <w:lang w:eastAsia="zh-CN"/>
        </w:rPr>
      </w:pPr>
      <w:bookmarkStart w:id="38" w:name="_bookmark27"/>
      <w:bookmarkEnd w:id="38"/>
      <w:bookmarkStart w:id="39" w:name="_Toc19900"/>
      <w:r>
        <w:rPr>
          <w:rFonts w:ascii="微软雅黑" w:hAnsi="微软雅黑" w:eastAsia="微软雅黑" w:cs="微软雅黑"/>
          <w:b/>
          <w:bCs/>
          <w:color w:val="auto"/>
          <w:sz w:val="32"/>
          <w:szCs w:val="32"/>
          <w:highlight w:val="none"/>
          <w:lang w:eastAsia="zh-CN"/>
        </w:rPr>
        <w:t>第七章 实施保障</w:t>
      </w:r>
      <w:bookmarkEnd w:id="39"/>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b/>
          <w:highlight w:val="none"/>
          <w:lang w:eastAsia="zh-CN"/>
        </w:rPr>
        <w:t>第八十</w:t>
      </w:r>
      <w:r>
        <w:rPr>
          <w:rFonts w:hint="eastAsia" w:ascii="微软雅黑" w:hAnsi="微软雅黑" w:eastAsia="微软雅黑"/>
          <w:b/>
          <w:highlight w:val="none"/>
          <w:lang w:val="en-US" w:eastAsia="zh-CN"/>
        </w:rPr>
        <w:t>四</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ascii="仿宋" w:hAnsi="仿宋" w:eastAsia="仿宋"/>
          <w:b w:val="0"/>
          <w:spacing w:val="-21"/>
          <w:highlight w:val="none"/>
          <w:lang w:val="en-US" w:eastAsia="zh-CN"/>
        </w:rPr>
        <w:t>本</w:t>
      </w:r>
      <w:r>
        <w:rPr>
          <w:rFonts w:hint="eastAsia"/>
          <w:spacing w:val="-21"/>
          <w:highlight w:val="none"/>
          <w:lang w:val="en-US" w:eastAsia="zh-CN"/>
        </w:rPr>
        <w:t>通则</w:t>
      </w:r>
      <w:r>
        <w:rPr>
          <w:rFonts w:hint="eastAsia"/>
          <w:spacing w:val="-16"/>
          <w:highlight w:val="none"/>
          <w:lang w:eastAsia="zh-CN"/>
        </w:rPr>
        <w:t>印发后，应纳入国土空间规划“一张图”实施监督信息系统，强化日常监督管理，建立“实施评估”制度，适时开展评估。</w:t>
      </w:r>
    </w:p>
    <w:p>
      <w:pPr>
        <w:pStyle w:val="12"/>
        <w:spacing w:line="360" w:lineRule="auto"/>
        <w:ind w:left="110" w:leftChars="50" w:right="110" w:rightChars="50" w:firstLine="560" w:firstLineChars="200"/>
        <w:rPr>
          <w:highlight w:val="none"/>
          <w:lang w:eastAsia="zh-CN"/>
        </w:rPr>
      </w:pPr>
      <w:r>
        <w:rPr>
          <w:highlight w:val="none"/>
          <w:lang w:eastAsia="zh-CN"/>
        </w:rPr>
        <w:t>（一）经评估符合以下情形之一的可以按有关程序修改</w:t>
      </w:r>
      <w:r>
        <w:rPr>
          <w:rFonts w:hint="eastAsia"/>
          <w:highlight w:val="none"/>
          <w:lang w:val="en-US" w:eastAsia="zh-CN"/>
        </w:rPr>
        <w:t>本通则</w:t>
      </w:r>
      <w:r>
        <w:rPr>
          <w:highlight w:val="none"/>
          <w:lang w:eastAsia="zh-CN"/>
        </w:rPr>
        <w:t>：</w:t>
      </w:r>
    </w:p>
    <w:p>
      <w:pPr>
        <w:pStyle w:val="12"/>
        <w:spacing w:line="360" w:lineRule="auto"/>
        <w:ind w:left="110" w:leftChars="50" w:right="110" w:rightChars="50" w:firstLine="496" w:firstLineChars="200"/>
        <w:rPr>
          <w:spacing w:val="-16"/>
          <w:highlight w:val="none"/>
          <w:lang w:eastAsia="zh-CN"/>
        </w:rPr>
      </w:pPr>
      <w:r>
        <w:rPr>
          <w:rFonts w:hint="eastAsia"/>
          <w:spacing w:val="-16"/>
          <w:highlight w:val="none"/>
          <w:lang w:eastAsia="zh-CN"/>
        </w:rPr>
        <w:t>1.因法律法规、政策文件、技术标准修订，且与本</w:t>
      </w:r>
      <w:r>
        <w:rPr>
          <w:rFonts w:hint="eastAsia"/>
          <w:spacing w:val="-16"/>
          <w:highlight w:val="none"/>
          <w:lang w:val="en-US" w:eastAsia="zh-CN"/>
        </w:rPr>
        <w:t>通则</w:t>
      </w:r>
      <w:r>
        <w:rPr>
          <w:rFonts w:hint="eastAsia"/>
          <w:spacing w:val="-16"/>
          <w:highlight w:val="none"/>
          <w:lang w:eastAsia="zh-CN"/>
        </w:rPr>
        <w:t>的强制性条款产生矛盾的。</w:t>
      </w:r>
    </w:p>
    <w:p>
      <w:pPr>
        <w:pStyle w:val="12"/>
        <w:spacing w:line="360" w:lineRule="auto"/>
        <w:ind w:left="110" w:leftChars="50" w:right="110" w:rightChars="50" w:firstLine="496" w:firstLineChars="200"/>
        <w:rPr>
          <w:spacing w:val="-16"/>
          <w:highlight w:val="none"/>
          <w:lang w:eastAsia="zh-CN"/>
        </w:rPr>
      </w:pPr>
      <w:r>
        <w:rPr>
          <w:rFonts w:hint="eastAsia"/>
          <w:spacing w:val="-16"/>
          <w:highlight w:val="none"/>
          <w:lang w:eastAsia="zh-CN"/>
        </w:rPr>
        <w:t>2.因上位国土空间总体规划修改调整，本</w:t>
      </w:r>
      <w:r>
        <w:rPr>
          <w:rFonts w:hint="eastAsia"/>
          <w:spacing w:val="-16"/>
          <w:highlight w:val="none"/>
          <w:lang w:val="en-US" w:eastAsia="zh-CN"/>
        </w:rPr>
        <w:t>通则</w:t>
      </w:r>
      <w:r>
        <w:rPr>
          <w:rFonts w:hint="eastAsia"/>
          <w:spacing w:val="-16"/>
          <w:highlight w:val="none"/>
          <w:lang w:eastAsia="zh-CN"/>
        </w:rPr>
        <w:t>与上位国土空间总体规划约束性指标及内容不符的。</w:t>
      </w:r>
    </w:p>
    <w:p>
      <w:pPr>
        <w:pStyle w:val="12"/>
        <w:spacing w:line="360" w:lineRule="auto"/>
        <w:ind w:left="110" w:leftChars="50" w:right="110" w:rightChars="50" w:firstLine="496" w:firstLineChars="200"/>
        <w:rPr>
          <w:spacing w:val="-16"/>
          <w:highlight w:val="none"/>
          <w:lang w:eastAsia="zh-CN"/>
        </w:rPr>
      </w:pPr>
      <w:r>
        <w:rPr>
          <w:rFonts w:hint="eastAsia"/>
          <w:spacing w:val="-16"/>
          <w:highlight w:val="none"/>
          <w:lang w:eastAsia="zh-CN"/>
        </w:rPr>
        <w:t>3.因行政区划已依法作调整，经对</w:t>
      </w:r>
      <w:r>
        <w:rPr>
          <w:rFonts w:hint="eastAsia"/>
          <w:spacing w:val="-16"/>
          <w:highlight w:val="none"/>
          <w:lang w:val="en-US" w:eastAsia="zh-CN"/>
        </w:rPr>
        <w:t>本通则</w:t>
      </w:r>
      <w:r>
        <w:rPr>
          <w:rFonts w:hint="eastAsia"/>
          <w:spacing w:val="-16"/>
          <w:highlight w:val="none"/>
          <w:lang w:eastAsia="zh-CN"/>
        </w:rPr>
        <w:t>实施进行评估，现行规定的审批机关认为确需对</w:t>
      </w:r>
      <w:r>
        <w:rPr>
          <w:rFonts w:hint="eastAsia"/>
          <w:spacing w:val="-16"/>
          <w:highlight w:val="none"/>
          <w:lang w:val="en-US" w:eastAsia="zh-CN"/>
        </w:rPr>
        <w:t>本通则</w:t>
      </w:r>
      <w:r>
        <w:rPr>
          <w:rFonts w:hint="eastAsia"/>
          <w:spacing w:val="-16"/>
          <w:highlight w:val="none"/>
          <w:lang w:eastAsia="zh-CN"/>
        </w:rPr>
        <w:t>进行修订的。</w:t>
      </w:r>
    </w:p>
    <w:p>
      <w:pPr>
        <w:pStyle w:val="12"/>
        <w:spacing w:line="360" w:lineRule="auto"/>
        <w:ind w:left="110" w:leftChars="50" w:right="110" w:rightChars="50" w:firstLine="496" w:firstLineChars="200"/>
        <w:rPr>
          <w:spacing w:val="-16"/>
          <w:highlight w:val="none"/>
          <w:lang w:eastAsia="zh-CN"/>
        </w:rPr>
      </w:pPr>
      <w:r>
        <w:rPr>
          <w:rFonts w:hint="eastAsia"/>
          <w:spacing w:val="-16"/>
          <w:highlight w:val="none"/>
          <w:lang w:eastAsia="zh-CN"/>
        </w:rPr>
        <w:t>4.因重大项目建设对本行政区乡村地区产生较大影响，经对规定实施进行评估，现行规定的审批机关认为确需对规定进行修订的。</w:t>
      </w:r>
    </w:p>
    <w:p>
      <w:pPr>
        <w:pStyle w:val="12"/>
        <w:spacing w:line="360" w:lineRule="auto"/>
        <w:ind w:left="110" w:leftChars="50" w:right="110" w:rightChars="50" w:firstLine="496" w:firstLineChars="200"/>
        <w:rPr>
          <w:spacing w:val="-16"/>
          <w:highlight w:val="none"/>
          <w:lang w:eastAsia="zh-CN"/>
        </w:rPr>
      </w:pPr>
      <w:r>
        <w:rPr>
          <w:rFonts w:hint="eastAsia"/>
          <w:spacing w:val="-16"/>
          <w:highlight w:val="none"/>
          <w:lang w:eastAsia="zh-CN"/>
        </w:rPr>
        <w:t>5.经实施评估，本</w:t>
      </w:r>
      <w:r>
        <w:rPr>
          <w:rFonts w:hint="eastAsia"/>
          <w:spacing w:val="-16"/>
          <w:highlight w:val="none"/>
          <w:lang w:val="en-US" w:eastAsia="zh-CN"/>
        </w:rPr>
        <w:t>通则</w:t>
      </w:r>
      <w:r>
        <w:rPr>
          <w:rFonts w:hint="eastAsia"/>
          <w:spacing w:val="-16"/>
          <w:highlight w:val="none"/>
          <w:lang w:eastAsia="zh-CN"/>
        </w:rPr>
        <w:t>无法满足国家和自治区批准的全域土地综合整治试点实施要求的。</w:t>
      </w:r>
    </w:p>
    <w:p>
      <w:pPr>
        <w:pStyle w:val="12"/>
        <w:spacing w:line="360" w:lineRule="auto"/>
        <w:ind w:left="110" w:leftChars="50" w:right="110" w:rightChars="50" w:firstLine="496" w:firstLineChars="200"/>
        <w:rPr>
          <w:highlight w:val="none"/>
          <w:lang w:eastAsia="zh-CN"/>
        </w:rPr>
      </w:pPr>
      <w:r>
        <w:rPr>
          <w:rFonts w:hint="eastAsia"/>
          <w:spacing w:val="-16"/>
          <w:highlight w:val="none"/>
          <w:lang w:eastAsia="zh-CN"/>
        </w:rPr>
        <w:t>6.法律法规和国务院、自治区、市区人民政府规定的其他情形。</w:t>
      </w:r>
    </w:p>
    <w:p>
      <w:pPr>
        <w:pStyle w:val="12"/>
        <w:spacing w:line="360" w:lineRule="auto"/>
        <w:ind w:left="110" w:leftChars="50" w:right="110" w:rightChars="50" w:firstLine="560" w:firstLineChars="200"/>
        <w:rPr>
          <w:highlight w:val="none"/>
          <w:lang w:eastAsia="zh-CN"/>
        </w:rPr>
      </w:pPr>
      <w:r>
        <w:rPr>
          <w:highlight w:val="none"/>
          <w:lang w:eastAsia="zh-CN"/>
        </w:rPr>
        <w:t>（二</w:t>
      </w:r>
      <w:r>
        <w:rPr>
          <w:spacing w:val="-99"/>
          <w:highlight w:val="none"/>
          <w:lang w:eastAsia="zh-CN"/>
        </w:rPr>
        <w:t>）</w:t>
      </w:r>
      <w:r>
        <w:rPr>
          <w:rFonts w:hint="eastAsia"/>
          <w:spacing w:val="-11"/>
          <w:highlight w:val="none"/>
          <w:lang w:eastAsia="zh-CN"/>
        </w:rPr>
        <w:t>规定修改由鱼峰区人民政府组织，鱼峰区自然资源局具体负责，可委托具备国土空间规划编制资质机构参与编制相关报告成果，具体修改流程如下</w:t>
      </w:r>
      <w:r>
        <w:rPr>
          <w:spacing w:val="-5"/>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1.区自然资源局向区人民政府提出修改申请，需编制实施评估报告的应同步提交实施评估报告说明。</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2.区人民政府批准同意修改规定后，由区自然资源局进行编制修改规定。</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3.规定成果编制完成后，应征求相关部门、乡镇人民政府、专家学者等各方意见，并及时修改完善后在区人民政府官方网站公示，公示时间不少于7日。</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4.公示期满无异议后，由区自然资源局报区人民政府批准后实施</w:t>
      </w:r>
      <w:r>
        <w:rPr>
          <w:highlight w:val="none"/>
          <w:lang w:eastAsia="zh-CN"/>
        </w:rPr>
        <w:t>。</w:t>
      </w:r>
    </w:p>
    <w:p>
      <w:pPr>
        <w:pStyle w:val="12"/>
        <w:spacing w:line="360" w:lineRule="auto"/>
        <w:ind w:left="110" w:leftChars="50" w:right="110" w:rightChars="50" w:firstLine="560" w:firstLineChars="200"/>
        <w:jc w:val="both"/>
        <w:rPr>
          <w:highlight w:val="none"/>
          <w:lang w:eastAsia="zh-CN"/>
        </w:rPr>
      </w:pPr>
      <w:r>
        <w:rPr>
          <w:rFonts w:hint="eastAsia" w:ascii="微软雅黑" w:hAnsi="微软雅黑" w:eastAsia="微软雅黑"/>
          <w:b/>
          <w:highlight w:val="none"/>
          <w:lang w:eastAsia="zh-CN"/>
        </w:rPr>
        <w:t>第八十</w:t>
      </w:r>
      <w:r>
        <w:rPr>
          <w:rFonts w:hint="eastAsia" w:ascii="微软雅黑" w:hAnsi="微软雅黑" w:eastAsia="微软雅黑"/>
          <w:b/>
          <w:highlight w:val="none"/>
          <w:lang w:val="en-US" w:eastAsia="zh-CN"/>
        </w:rPr>
        <w:t>五</w:t>
      </w:r>
      <w:r>
        <w:rPr>
          <w:rFonts w:hint="eastAsia" w:ascii="微软雅黑" w:hAnsi="微软雅黑" w:eastAsia="微软雅黑"/>
          <w:b/>
          <w:highlight w:val="none"/>
          <w:lang w:eastAsia="zh-CN"/>
        </w:rPr>
        <w:t>条</w:t>
      </w:r>
      <w:r>
        <w:rPr>
          <w:rFonts w:hint="eastAsia" w:ascii="微软雅黑" w:hAnsi="微软雅黑" w:eastAsia="微软雅黑"/>
          <w:b/>
          <w:highlight w:val="none"/>
          <w:lang w:val="en-US" w:eastAsia="zh-CN"/>
        </w:rPr>
        <w:t xml:space="preserve"> </w:t>
      </w:r>
      <w:r>
        <w:rPr>
          <w:rFonts w:hint="eastAsia"/>
          <w:spacing w:val="0"/>
          <w:sz w:val="28"/>
          <w:szCs w:val="28"/>
          <w:highlight w:val="none"/>
          <w:lang w:eastAsia="zh-CN"/>
        </w:rPr>
        <w:t>本</w:t>
      </w:r>
      <w:r>
        <w:rPr>
          <w:rFonts w:hint="eastAsia"/>
          <w:spacing w:val="0"/>
          <w:sz w:val="28"/>
          <w:szCs w:val="28"/>
          <w:highlight w:val="none"/>
          <w:lang w:val="en-US" w:eastAsia="zh-CN"/>
        </w:rPr>
        <w:t>通则规定事项外的</w:t>
      </w:r>
      <w:r>
        <w:rPr>
          <w:rFonts w:hint="eastAsia"/>
          <w:spacing w:val="0"/>
          <w:sz w:val="28"/>
          <w:szCs w:val="28"/>
          <w:highlight w:val="none"/>
          <w:lang w:eastAsia="zh-CN"/>
        </w:rPr>
        <w:t>具体项目建设管控，可编制乡村地区重点地块图则，作为核发规划许可的依据。乡村地区重点地块图则由项目地块所在的乡镇人民政府（街道办事处）组织编制或委托具备国土空间规划编制资质的机构参与编制，</w:t>
      </w:r>
      <w:r>
        <w:rPr>
          <w:rFonts w:hint="eastAsia"/>
          <w:spacing w:val="0"/>
          <w:sz w:val="28"/>
          <w:szCs w:val="28"/>
          <w:highlight w:val="none"/>
          <w:lang w:val="en-US" w:eastAsia="zh-CN"/>
        </w:rPr>
        <w:t>并</w:t>
      </w:r>
      <w:r>
        <w:rPr>
          <w:rFonts w:hint="eastAsia"/>
          <w:highlight w:val="none"/>
          <w:lang w:eastAsia="zh-CN"/>
        </w:rPr>
        <w:t>组织村（居）民委员会、村（居）民会议或村（居）民代表会议讨论。经相关村庄的村民会议三分之二以上成员或者三分之二以上的村民代表同意通过</w:t>
      </w:r>
      <w:r>
        <w:rPr>
          <w:rFonts w:hint="eastAsia"/>
          <w:highlight w:val="none"/>
          <w:lang w:val="en-US" w:eastAsia="zh-CN"/>
        </w:rPr>
        <w:t>后</w:t>
      </w:r>
      <w:r>
        <w:rPr>
          <w:rFonts w:hint="eastAsia"/>
          <w:highlight w:val="none"/>
          <w:lang w:eastAsia="zh-CN"/>
        </w:rPr>
        <w:t>，在村（居）内公示栏或乡镇人民政府官方网站公示，公示时间不少于7日。公示期满无异议后，由鱼峰区自然资源局组织技术审查和论证，</w:t>
      </w:r>
      <w:r>
        <w:rPr>
          <w:rFonts w:hint="eastAsia"/>
          <w:highlight w:val="none"/>
          <w:lang w:val="en-US" w:eastAsia="zh-CN"/>
        </w:rPr>
        <w:t>并</w:t>
      </w:r>
      <w:r>
        <w:rPr>
          <w:rFonts w:hint="eastAsia"/>
          <w:highlight w:val="none"/>
          <w:lang w:eastAsia="zh-CN"/>
        </w:rPr>
        <w:t>报区人民政府批准后实施，依法办理</w:t>
      </w:r>
      <w:r>
        <w:rPr>
          <w:rFonts w:hint="eastAsia"/>
          <w:highlight w:val="none"/>
          <w:lang w:val="en-US" w:eastAsia="zh-CN"/>
        </w:rPr>
        <w:t>相关</w:t>
      </w:r>
      <w:r>
        <w:rPr>
          <w:rFonts w:hint="eastAsia"/>
          <w:highlight w:val="none"/>
          <w:lang w:eastAsia="zh-CN"/>
        </w:rPr>
        <w:t>登记手续，纳入国土空间规划信息基础平台。</w:t>
      </w:r>
      <w:r>
        <w:rPr>
          <w:rFonts w:hint="eastAsia"/>
          <w:highlight w:val="none"/>
          <w:lang w:val="en-US" w:eastAsia="zh-CN"/>
        </w:rPr>
        <w:t>因置换土地造成被置换土地利害关系人合法权益损失的，应当按照有关规定给予公平合理补偿。</w:t>
      </w:r>
    </w:p>
    <w:p>
      <w:pPr>
        <w:pStyle w:val="12"/>
        <w:spacing w:line="360" w:lineRule="auto"/>
        <w:ind w:left="110" w:leftChars="50" w:right="110" w:rightChars="50" w:firstLine="560" w:firstLineChars="200"/>
        <w:rPr>
          <w:highlight w:val="none"/>
          <w:lang w:eastAsia="zh-CN"/>
        </w:rPr>
      </w:pPr>
      <w:r>
        <w:rPr>
          <w:highlight w:val="none"/>
          <w:lang w:eastAsia="zh-CN"/>
        </w:rPr>
        <w:t>（一）以下情形应编制乡村地区重点地块图则：</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1.</w:t>
      </w:r>
      <w:r>
        <w:rPr>
          <w:rFonts w:hint="eastAsia" w:cs="宋体"/>
          <w:highlight w:val="none"/>
          <w:lang w:eastAsia="zh-CN"/>
        </w:rPr>
        <w:t>本</w:t>
      </w:r>
      <w:r>
        <w:rPr>
          <w:rFonts w:hint="eastAsia" w:cs="宋体"/>
          <w:highlight w:val="none"/>
          <w:lang w:val="en-US" w:eastAsia="zh-CN"/>
        </w:rPr>
        <w:t>通则</w:t>
      </w:r>
      <w:r>
        <w:rPr>
          <w:rFonts w:hint="eastAsia" w:cs="宋体"/>
          <w:highlight w:val="none"/>
          <w:lang w:eastAsia="zh-CN"/>
        </w:rPr>
        <w:t>条文式内容无法满足具体项目建设管控要求的。</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2.</w:t>
      </w:r>
      <w:r>
        <w:rPr>
          <w:rFonts w:hint="eastAsia" w:cs="宋体"/>
          <w:highlight w:val="none"/>
          <w:lang w:eastAsia="zh-CN"/>
        </w:rPr>
        <w:t>单个建设项目涉及新增建设用地超过</w:t>
      </w:r>
      <w:r>
        <w:rPr>
          <w:rFonts w:hint="eastAsia"/>
          <w:highlight w:val="none"/>
          <w:lang w:eastAsia="zh-CN"/>
        </w:rPr>
        <w:t>1</w:t>
      </w:r>
      <w:r>
        <w:rPr>
          <w:rFonts w:hint="eastAsia" w:cs="宋体"/>
          <w:highlight w:val="none"/>
          <w:lang w:eastAsia="zh-CN"/>
        </w:rPr>
        <w:t>公顷或用地占用耕地指标的。</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3.</w:t>
      </w:r>
      <w:r>
        <w:rPr>
          <w:rFonts w:hint="eastAsia" w:cs="宋体"/>
          <w:highlight w:val="none"/>
          <w:lang w:eastAsia="zh-CN"/>
        </w:rPr>
        <w:t>涉及</w:t>
      </w:r>
      <w:r>
        <w:rPr>
          <w:rFonts w:hint="eastAsia"/>
          <w:spacing w:val="-16"/>
          <w:highlight w:val="none"/>
          <w:lang w:eastAsia="zh-CN"/>
        </w:rPr>
        <w:t>国家和自治区批准的全域土地综合整治试点</w:t>
      </w:r>
      <w:r>
        <w:rPr>
          <w:rFonts w:hint="eastAsia" w:cs="宋体"/>
          <w:highlight w:val="none"/>
          <w:lang w:eastAsia="zh-CN"/>
        </w:rPr>
        <w:t>项目用地。</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4.</w:t>
      </w:r>
      <w:r>
        <w:rPr>
          <w:rFonts w:hint="eastAsia" w:cs="宋体"/>
          <w:highlight w:val="none"/>
          <w:lang w:eastAsia="zh-CN"/>
        </w:rPr>
        <w:t>村庄规划中采用图标、留白等方式未明确地块管控要求的建设项目。</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5.</w:t>
      </w:r>
      <w:r>
        <w:rPr>
          <w:rFonts w:hint="eastAsia" w:cs="宋体"/>
          <w:highlight w:val="none"/>
          <w:lang w:eastAsia="zh-CN"/>
        </w:rPr>
        <w:t>法律法规和国务院、自治区、市区人民政府规定的其他情形</w:t>
      </w:r>
      <w:r>
        <w:rPr>
          <w:highlight w:val="none"/>
          <w:lang w:eastAsia="zh-CN"/>
        </w:rPr>
        <w:t>。</w:t>
      </w:r>
    </w:p>
    <w:p>
      <w:pPr>
        <w:pStyle w:val="12"/>
        <w:spacing w:line="360" w:lineRule="auto"/>
        <w:ind w:left="110" w:leftChars="50" w:right="110" w:rightChars="50" w:firstLine="560" w:firstLineChars="200"/>
        <w:rPr>
          <w:rFonts w:hint="eastAsia" w:cs="宋体"/>
          <w:highlight w:val="none"/>
          <w:lang w:eastAsia="zh-CN"/>
        </w:rPr>
      </w:pPr>
      <w:r>
        <w:rPr>
          <w:rFonts w:hint="eastAsia" w:cs="宋体"/>
          <w:highlight w:val="none"/>
          <w:lang w:eastAsia="zh-CN"/>
        </w:rPr>
        <w:t>（二）乡村地区重点地块图则编制要求如下：</w:t>
      </w:r>
    </w:p>
    <w:p>
      <w:pPr>
        <w:pStyle w:val="12"/>
        <w:spacing w:line="360" w:lineRule="auto"/>
        <w:ind w:left="110" w:leftChars="50" w:right="110" w:rightChars="50" w:firstLine="560" w:firstLineChars="200"/>
        <w:rPr>
          <w:rFonts w:hint="eastAsia" w:cs="宋体"/>
          <w:highlight w:val="none"/>
          <w:lang w:eastAsia="zh-CN"/>
        </w:rPr>
      </w:pPr>
      <w:r>
        <w:rPr>
          <w:rFonts w:hint="eastAsia" w:cs="宋体"/>
          <w:highlight w:val="none"/>
          <w:lang w:eastAsia="zh-CN"/>
        </w:rPr>
        <w:t>1.应采用2000国家大地坐标，1985国家高程基准，高斯—克吕格投影。并按广西壮族自治区相关规定要求提交数据标准形成的矢量数据。</w:t>
      </w:r>
    </w:p>
    <w:p>
      <w:pPr>
        <w:pStyle w:val="12"/>
        <w:spacing w:line="360" w:lineRule="auto"/>
        <w:ind w:left="110" w:leftChars="50" w:right="110" w:rightChars="50" w:firstLine="560" w:firstLineChars="200"/>
        <w:rPr>
          <w:rFonts w:hint="eastAsia" w:cs="宋体"/>
          <w:highlight w:val="none"/>
          <w:lang w:eastAsia="zh-CN"/>
        </w:rPr>
      </w:pPr>
      <w:r>
        <w:rPr>
          <w:rFonts w:hint="eastAsia" w:cs="宋体"/>
          <w:highlight w:val="none"/>
          <w:lang w:eastAsia="zh-CN"/>
        </w:rPr>
        <w:t>2.图则比例宜为1:500～1:1000，不宜小于1:2000，可采用实测地形图或采用不低于0.2米分辨率正射影像图和最新年度变更调查成果图叠加制作底图。</w:t>
      </w:r>
    </w:p>
    <w:p>
      <w:pPr>
        <w:pStyle w:val="12"/>
        <w:spacing w:line="360" w:lineRule="auto"/>
        <w:ind w:left="110" w:leftChars="50" w:right="110" w:rightChars="50" w:firstLine="560" w:firstLineChars="200"/>
        <w:rPr>
          <w:rFonts w:hint="eastAsia" w:cs="宋体"/>
          <w:highlight w:val="none"/>
          <w:lang w:eastAsia="zh-CN"/>
        </w:rPr>
      </w:pPr>
      <w:r>
        <w:rPr>
          <w:rFonts w:hint="eastAsia" w:cs="宋体"/>
          <w:highlight w:val="none"/>
          <w:lang w:eastAsia="zh-CN"/>
        </w:rPr>
        <w:t>3.图面应注明图则名称、地块范围、比例尺、指北针、图例、编制单位和制图单位等信息。</w:t>
      </w:r>
    </w:p>
    <w:p>
      <w:pPr>
        <w:pStyle w:val="12"/>
        <w:spacing w:line="360" w:lineRule="auto"/>
        <w:ind w:left="110" w:leftChars="50" w:right="110" w:rightChars="50" w:firstLine="560" w:firstLineChars="200"/>
        <w:rPr>
          <w:rFonts w:hint="eastAsia" w:cs="宋体"/>
          <w:highlight w:val="none"/>
          <w:lang w:eastAsia="zh-CN"/>
        </w:rPr>
      </w:pPr>
      <w:r>
        <w:rPr>
          <w:rFonts w:hint="eastAsia" w:cs="宋体"/>
          <w:highlight w:val="none"/>
          <w:lang w:eastAsia="zh-CN"/>
        </w:rPr>
        <w:t>4.细化明确项目的用地位置、面积、土地用途、容积率、绿地率、建筑密度、建筑高度等控制内容，并标注项目地块范围坐标、地块设计标高、出入口方位、建筑退让控制线、地块周边信息等，完善项目概况、管理要求、重点项目地块控制表等内容（详见附图一）</w:t>
      </w:r>
    </w:p>
    <w:p>
      <w:pPr>
        <w:spacing w:line="360" w:lineRule="auto"/>
        <w:ind w:left="110" w:leftChars="50" w:right="110" w:rightChars="50" w:firstLine="480" w:firstLineChars="200"/>
        <w:rPr>
          <w:rFonts w:hint="eastAsia"/>
          <w:spacing w:val="-20"/>
          <w:sz w:val="28"/>
          <w:szCs w:val="28"/>
          <w:highlight w:val="none"/>
          <w:lang w:eastAsia="zh-CN"/>
        </w:rPr>
      </w:pPr>
    </w:p>
    <w:p>
      <w:pPr>
        <w:spacing w:line="360" w:lineRule="auto"/>
        <w:ind w:left="0" w:leftChars="0" w:right="110" w:rightChars="50" w:firstLine="0" w:firstLineChars="0"/>
        <w:rPr>
          <w:rFonts w:hint="eastAsia"/>
          <w:spacing w:val="-20"/>
          <w:sz w:val="28"/>
          <w:szCs w:val="28"/>
          <w:highlight w:val="none"/>
          <w:lang w:eastAsia="zh-CN"/>
        </w:rPr>
        <w:sectPr>
          <w:pgSz w:w="11910" w:h="16840"/>
          <w:pgMar w:top="1480" w:right="680" w:bottom="880" w:left="980" w:header="850" w:footer="992" w:gutter="0"/>
          <w:cols w:space="720" w:num="1"/>
        </w:sectPr>
      </w:pPr>
    </w:p>
    <w:p>
      <w:pPr>
        <w:pStyle w:val="2"/>
        <w:keepNext w:val="0"/>
        <w:keepLines w:val="0"/>
        <w:spacing w:before="0" w:after="0" w:line="524" w:lineRule="exact"/>
        <w:ind w:right="298"/>
        <w:jc w:val="center"/>
        <w:rPr>
          <w:rFonts w:ascii="微软雅黑" w:hAnsi="微软雅黑" w:eastAsia="微软雅黑" w:cs="微软雅黑"/>
          <w:b/>
          <w:bCs/>
          <w:color w:val="auto"/>
          <w:sz w:val="32"/>
          <w:szCs w:val="32"/>
          <w:highlight w:val="none"/>
          <w:lang w:eastAsia="zh-CN"/>
        </w:rPr>
      </w:pPr>
      <w:bookmarkStart w:id="40" w:name="_bookmark28"/>
      <w:bookmarkEnd w:id="40"/>
      <w:bookmarkStart w:id="41" w:name="_Toc12421"/>
      <w:r>
        <w:rPr>
          <w:rFonts w:ascii="微软雅黑" w:hAnsi="微软雅黑" w:eastAsia="微软雅黑" w:cs="微软雅黑"/>
          <w:b/>
          <w:bCs/>
          <w:color w:val="auto"/>
          <w:sz w:val="32"/>
          <w:szCs w:val="32"/>
          <w:highlight w:val="none"/>
          <w:lang w:eastAsia="zh-CN"/>
        </w:rPr>
        <w:t>附则</w:t>
      </w:r>
      <w:bookmarkEnd w:id="41"/>
    </w:p>
    <w:p>
      <w:pPr>
        <w:pStyle w:val="12"/>
        <w:spacing w:line="360" w:lineRule="auto"/>
        <w:ind w:left="110" w:leftChars="50" w:right="110" w:rightChars="50" w:firstLine="560" w:firstLineChars="200"/>
        <w:rPr>
          <w:rFonts w:hint="eastAsia"/>
          <w:color w:val="auto"/>
          <w:highlight w:val="none"/>
          <w:lang w:eastAsia="zh-CN"/>
        </w:rPr>
      </w:pPr>
      <w:r>
        <w:rPr>
          <w:rFonts w:hint="eastAsia" w:ascii="微软雅黑" w:hAnsi="微软雅黑" w:eastAsia="微软雅黑"/>
          <w:b/>
          <w:highlight w:val="none"/>
          <w:lang w:eastAsia="zh-CN"/>
        </w:rPr>
        <w:t>第八十</w:t>
      </w:r>
      <w:r>
        <w:rPr>
          <w:rFonts w:hint="eastAsia" w:ascii="微软雅黑" w:hAnsi="微软雅黑" w:eastAsia="微软雅黑"/>
          <w:b/>
          <w:highlight w:val="none"/>
          <w:lang w:val="en-US" w:eastAsia="zh-CN"/>
        </w:rPr>
        <w:t>六</w:t>
      </w:r>
      <w:r>
        <w:rPr>
          <w:rFonts w:hint="eastAsia" w:ascii="微软雅黑" w:hAnsi="微软雅黑" w:eastAsia="微软雅黑"/>
          <w:b/>
          <w:highlight w:val="none"/>
          <w:lang w:eastAsia="zh-CN"/>
        </w:rPr>
        <w:t xml:space="preserve">条 </w:t>
      </w:r>
      <w:r>
        <w:rPr>
          <w:rFonts w:hint="eastAsia"/>
          <w:color w:val="auto"/>
          <w:highlight w:val="none"/>
          <w:lang w:eastAsia="zh-CN"/>
        </w:rPr>
        <w:t>本通则通过鱼峰区人民政府网站征求公众意见，经柳州市自然资源和规划工作领导小组规划委员会专家组2025年第25次会议审查通过，并充分采纳公众及专家组意见。</w:t>
      </w:r>
    </w:p>
    <w:p>
      <w:pPr>
        <w:pStyle w:val="12"/>
        <w:spacing w:line="360" w:lineRule="auto"/>
        <w:ind w:left="110" w:leftChars="50" w:right="110" w:rightChars="50" w:firstLine="560" w:firstLineChars="200"/>
        <w:rPr>
          <w:rFonts w:hint="default" w:ascii="微软雅黑" w:hAnsi="微软雅黑" w:eastAsia="微软雅黑"/>
          <w:b/>
          <w:highlight w:val="none"/>
          <w:lang w:val="en-US" w:eastAsia="zh-CN"/>
        </w:rPr>
      </w:pPr>
      <w:r>
        <w:rPr>
          <w:rFonts w:hint="eastAsia" w:ascii="微软雅黑" w:hAnsi="微软雅黑" w:eastAsia="微软雅黑"/>
          <w:b/>
          <w:highlight w:val="none"/>
          <w:lang w:val="en-US" w:eastAsia="zh-CN"/>
        </w:rPr>
        <w:t xml:space="preserve">第八十七条 </w:t>
      </w:r>
      <w:r>
        <w:rPr>
          <w:rFonts w:hint="eastAsia"/>
          <w:color w:val="auto"/>
          <w:highlight w:val="none"/>
          <w:lang w:eastAsia="zh-CN"/>
        </w:rPr>
        <w:t>本通则自印发之日起施行，有效期至2035年12月31日</w:t>
      </w:r>
      <w:r>
        <w:rPr>
          <w:color w:val="auto"/>
          <w:highlight w:val="none"/>
          <w:lang w:eastAsia="zh-CN"/>
        </w:rPr>
        <w:t>。</w:t>
      </w:r>
    </w:p>
    <w:p>
      <w:pPr>
        <w:pStyle w:val="12"/>
        <w:spacing w:line="360" w:lineRule="auto"/>
        <w:ind w:left="110" w:leftChars="50" w:right="110" w:rightChars="50" w:firstLine="560" w:firstLineChars="200"/>
        <w:rPr>
          <w:highlight w:val="none"/>
          <w:lang w:eastAsia="zh-CN"/>
        </w:rPr>
      </w:pPr>
      <w:r>
        <w:rPr>
          <w:rFonts w:hint="eastAsia" w:ascii="微软雅黑" w:hAnsi="微软雅黑" w:eastAsia="微软雅黑" w:cs="仿宋"/>
          <w:b/>
          <w:sz w:val="28"/>
          <w:szCs w:val="28"/>
          <w:highlight w:val="none"/>
          <w:lang w:val="en-US" w:eastAsia="zh-CN" w:bidi="ar-SA"/>
        </w:rPr>
        <w:t>第八十八条</w:t>
      </w:r>
      <w:r>
        <w:rPr>
          <w:rFonts w:hint="eastAsia"/>
          <w:color w:val="000000" w:themeColor="text1"/>
          <w:spacing w:val="-7"/>
          <w:highlight w:val="none"/>
          <w:lang w:val="en-US" w:eastAsia="zh-CN"/>
          <w14:textFill>
            <w14:solidFill>
              <w14:schemeClr w14:val="tx1"/>
            </w14:solidFill>
          </w14:textFill>
        </w:rPr>
        <w:t xml:space="preserve"> </w:t>
      </w:r>
      <w:r>
        <w:rPr>
          <w:rFonts w:hint="eastAsia"/>
          <w:color w:val="000000" w:themeColor="text1"/>
          <w:spacing w:val="-7"/>
          <w:highlight w:val="none"/>
          <w:lang w:eastAsia="zh-CN"/>
          <w14:textFill>
            <w14:solidFill>
              <w14:schemeClr w14:val="tx1"/>
            </w14:solidFill>
          </w14:textFill>
        </w:rPr>
        <w:t>在实施过程中，如果遇到与国家新发布的法律法规、政策标准存在冲突的，以国家最新法律法规、政策标准为准。法律、法规、规章另有规定的，从其规定</w:t>
      </w:r>
      <w:r>
        <w:rPr>
          <w:rFonts w:hint="eastAsia"/>
          <w:color w:val="000000" w:themeColor="text1"/>
          <w:spacing w:val="-7"/>
          <w:highlight w:val="none"/>
          <w:lang w:val="en-US" w:eastAsia="zh-CN"/>
          <w14:textFill>
            <w14:solidFill>
              <w14:schemeClr w14:val="tx1"/>
            </w14:solidFill>
          </w14:textFill>
        </w:rPr>
        <w:t>。</w:t>
      </w:r>
    </w:p>
    <w:p>
      <w:pPr>
        <w:spacing w:line="360" w:lineRule="auto"/>
        <w:ind w:left="110" w:leftChars="50" w:right="110" w:rightChars="50" w:firstLine="560" w:firstLineChars="200"/>
        <w:rPr>
          <w:sz w:val="28"/>
          <w:szCs w:val="28"/>
          <w:highlight w:val="none"/>
          <w:lang w:eastAsia="zh-CN"/>
        </w:rPr>
      </w:pPr>
      <w:r>
        <w:rPr>
          <w:rFonts w:hint="eastAsia" w:ascii="微软雅黑" w:hAnsi="微软雅黑" w:eastAsia="微软雅黑"/>
          <w:b/>
          <w:sz w:val="28"/>
          <w:szCs w:val="28"/>
          <w:highlight w:val="none"/>
          <w:lang w:eastAsia="zh-CN"/>
        </w:rPr>
        <w:t>第</w:t>
      </w:r>
      <w:r>
        <w:rPr>
          <w:rFonts w:hint="eastAsia" w:ascii="微软雅黑" w:hAnsi="微软雅黑" w:eastAsia="微软雅黑"/>
          <w:b/>
          <w:sz w:val="28"/>
          <w:szCs w:val="28"/>
          <w:highlight w:val="none"/>
          <w:lang w:val="en-US" w:eastAsia="zh-CN"/>
        </w:rPr>
        <w:t>八十九</w:t>
      </w:r>
      <w:r>
        <w:rPr>
          <w:rFonts w:hint="eastAsia" w:ascii="微软雅黑" w:hAnsi="微软雅黑" w:eastAsia="微软雅黑"/>
          <w:b/>
          <w:sz w:val="28"/>
          <w:szCs w:val="28"/>
          <w:highlight w:val="none"/>
          <w:lang w:eastAsia="zh-CN"/>
        </w:rPr>
        <w:t xml:space="preserve">条 </w:t>
      </w:r>
      <w:r>
        <w:rPr>
          <w:sz w:val="28"/>
          <w:szCs w:val="28"/>
          <w:highlight w:val="none"/>
          <w:lang w:eastAsia="zh-CN"/>
        </w:rPr>
        <w:t>本</w:t>
      </w:r>
      <w:r>
        <w:rPr>
          <w:rFonts w:hint="eastAsia"/>
          <w:sz w:val="28"/>
          <w:szCs w:val="28"/>
          <w:highlight w:val="none"/>
          <w:lang w:val="en-US" w:eastAsia="zh-CN"/>
        </w:rPr>
        <w:t>通则</w:t>
      </w:r>
      <w:r>
        <w:rPr>
          <w:sz w:val="28"/>
          <w:szCs w:val="28"/>
          <w:highlight w:val="none"/>
          <w:lang w:eastAsia="zh-CN"/>
        </w:rPr>
        <w:t>有关用语如下：</w:t>
      </w:r>
    </w:p>
    <w:p>
      <w:pPr>
        <w:pStyle w:val="12"/>
        <w:spacing w:line="360" w:lineRule="auto"/>
        <w:ind w:left="110" w:leftChars="50" w:right="110" w:rightChars="50" w:firstLine="560" w:firstLineChars="200"/>
        <w:rPr>
          <w:highlight w:val="none"/>
          <w:lang w:eastAsia="zh-CN"/>
        </w:rPr>
      </w:pPr>
      <w:r>
        <w:rPr>
          <w:rFonts w:hint="eastAsia"/>
          <w:highlight w:val="none"/>
          <w:lang w:eastAsia="zh-CN"/>
        </w:rPr>
        <w:t>1.</w:t>
      </w:r>
      <w:r>
        <w:rPr>
          <w:highlight w:val="none"/>
          <w:lang w:eastAsia="zh-CN"/>
        </w:rPr>
        <w:t>在执行本</w:t>
      </w:r>
      <w:r>
        <w:rPr>
          <w:rFonts w:hint="eastAsia"/>
          <w:highlight w:val="none"/>
          <w:lang w:val="en-US" w:eastAsia="zh-CN"/>
        </w:rPr>
        <w:t>通则</w:t>
      </w:r>
      <w:r>
        <w:rPr>
          <w:highlight w:val="none"/>
          <w:lang w:eastAsia="zh-CN"/>
        </w:rPr>
        <w:t>的条文时，对要求严格程度不同的用词说明如下：</w:t>
      </w:r>
    </w:p>
    <w:p>
      <w:pPr>
        <w:pStyle w:val="39"/>
        <w:numPr>
          <w:ilvl w:val="2"/>
          <w:numId w:val="4"/>
        </w:numPr>
        <w:tabs>
          <w:tab w:val="left" w:pos="1362"/>
        </w:tabs>
        <w:spacing w:line="360" w:lineRule="auto"/>
        <w:ind w:left="110" w:leftChars="50" w:right="110" w:rightChars="50" w:firstLine="508" w:firstLineChars="200"/>
        <w:contextualSpacing w:val="0"/>
        <w:rPr>
          <w:sz w:val="28"/>
          <w:szCs w:val="28"/>
          <w:highlight w:val="none"/>
          <w:lang w:eastAsia="zh-CN"/>
        </w:rPr>
      </w:pPr>
      <w:r>
        <w:rPr>
          <w:rFonts w:hint="eastAsia"/>
          <w:spacing w:val="-13"/>
          <w:sz w:val="28"/>
          <w:szCs w:val="28"/>
          <w:highlight w:val="none"/>
          <w:lang w:eastAsia="zh-CN"/>
        </w:rPr>
        <w:t>表示很严格，非这样做不可的用词：正面词采用“必须”，反面词采用“严禁”</w:t>
      </w:r>
      <w:r>
        <w:rPr>
          <w:spacing w:val="-1"/>
          <w:sz w:val="28"/>
          <w:szCs w:val="28"/>
          <w:highlight w:val="none"/>
          <w:lang w:eastAsia="zh-CN"/>
        </w:rPr>
        <w:t>。</w:t>
      </w:r>
    </w:p>
    <w:p>
      <w:pPr>
        <w:pStyle w:val="39"/>
        <w:numPr>
          <w:ilvl w:val="2"/>
          <w:numId w:val="4"/>
        </w:numPr>
        <w:tabs>
          <w:tab w:val="left" w:pos="1362"/>
        </w:tabs>
        <w:spacing w:line="360" w:lineRule="auto"/>
        <w:ind w:left="110" w:leftChars="50" w:right="110" w:rightChars="50" w:firstLine="512" w:firstLineChars="200"/>
        <w:contextualSpacing w:val="0"/>
        <w:rPr>
          <w:sz w:val="28"/>
          <w:szCs w:val="28"/>
          <w:highlight w:val="none"/>
          <w:lang w:eastAsia="zh-CN"/>
        </w:rPr>
      </w:pPr>
      <w:r>
        <w:rPr>
          <w:rFonts w:hint="eastAsia"/>
          <w:spacing w:val="-12"/>
          <w:sz w:val="28"/>
          <w:szCs w:val="28"/>
          <w:highlight w:val="none"/>
          <w:lang w:eastAsia="zh-CN"/>
        </w:rPr>
        <w:t>表示严格，在正常情况均应这样做的用词：正面词采用“应”，反面词采用“不应”或“不得”</w:t>
      </w:r>
      <w:r>
        <w:rPr>
          <w:spacing w:val="-9"/>
          <w:sz w:val="28"/>
          <w:szCs w:val="28"/>
          <w:highlight w:val="none"/>
          <w:lang w:eastAsia="zh-CN"/>
        </w:rPr>
        <w:t>。</w:t>
      </w:r>
    </w:p>
    <w:p>
      <w:pPr>
        <w:pStyle w:val="39"/>
        <w:numPr>
          <w:ilvl w:val="2"/>
          <w:numId w:val="4"/>
        </w:numPr>
        <w:tabs>
          <w:tab w:val="left" w:pos="1370"/>
        </w:tabs>
        <w:spacing w:line="360" w:lineRule="auto"/>
        <w:ind w:left="110" w:leftChars="50" w:right="110" w:rightChars="50" w:firstLine="556" w:firstLineChars="200"/>
        <w:contextualSpacing w:val="0"/>
        <w:rPr>
          <w:sz w:val="28"/>
          <w:szCs w:val="28"/>
          <w:highlight w:val="none"/>
          <w:lang w:eastAsia="zh-CN"/>
        </w:rPr>
      </w:pPr>
      <w:r>
        <w:rPr>
          <w:rFonts w:hint="eastAsia"/>
          <w:spacing w:val="-1"/>
          <w:sz w:val="28"/>
          <w:szCs w:val="28"/>
          <w:highlight w:val="none"/>
          <w:lang w:eastAsia="zh-CN"/>
        </w:rPr>
        <w:t>表示允许稍有选择，在条件许可时首先应这样做的用词：正面词采用“宜”，反面词采用“不宜”</w:t>
      </w:r>
      <w:r>
        <w:rPr>
          <w:spacing w:val="-3"/>
          <w:sz w:val="28"/>
          <w:szCs w:val="28"/>
          <w:highlight w:val="none"/>
          <w:lang w:eastAsia="zh-CN"/>
        </w:rPr>
        <w:t>。</w:t>
      </w:r>
    </w:p>
    <w:p>
      <w:pPr>
        <w:pStyle w:val="39"/>
        <w:numPr>
          <w:ilvl w:val="2"/>
          <w:numId w:val="4"/>
        </w:numPr>
        <w:tabs>
          <w:tab w:val="left" w:pos="1364"/>
        </w:tabs>
        <w:spacing w:line="360" w:lineRule="auto"/>
        <w:ind w:left="110" w:leftChars="50" w:right="110" w:rightChars="50" w:firstLine="548" w:firstLineChars="200"/>
        <w:contextualSpacing w:val="0"/>
        <w:rPr>
          <w:sz w:val="28"/>
          <w:szCs w:val="28"/>
          <w:highlight w:val="none"/>
          <w:lang w:eastAsia="zh-CN"/>
        </w:rPr>
      </w:pPr>
      <w:r>
        <w:rPr>
          <w:rFonts w:hint="eastAsia"/>
          <w:spacing w:val="-3"/>
          <w:sz w:val="28"/>
          <w:szCs w:val="28"/>
          <w:highlight w:val="none"/>
          <w:lang w:eastAsia="zh-CN"/>
        </w:rPr>
        <w:t>表示有选择，在一定条件下可以这样做的用词，采用“可”</w:t>
      </w:r>
      <w:r>
        <w:rPr>
          <w:spacing w:val="-3"/>
          <w:sz w:val="28"/>
          <w:szCs w:val="28"/>
          <w:highlight w:val="none"/>
          <w:lang w:eastAsia="zh-CN"/>
        </w:rPr>
        <w:t>。</w:t>
      </w:r>
    </w:p>
    <w:p>
      <w:pPr>
        <w:pStyle w:val="12"/>
        <w:spacing w:line="360" w:lineRule="auto"/>
        <w:ind w:left="110" w:leftChars="50" w:right="110" w:rightChars="50" w:firstLine="560" w:firstLineChars="200"/>
        <w:rPr>
          <w:highlight w:val="none"/>
          <w:lang w:eastAsia="zh-CN"/>
        </w:rPr>
        <w:sectPr>
          <w:pgSz w:w="11910" w:h="16840"/>
          <w:pgMar w:top="1560" w:right="680" w:bottom="880" w:left="980" w:header="850" w:footer="992" w:gutter="0"/>
          <w:cols w:space="720" w:num="1"/>
        </w:sectPr>
      </w:pPr>
      <w:r>
        <w:rPr>
          <w:rFonts w:hint="eastAsia"/>
          <w:highlight w:val="none"/>
          <w:lang w:eastAsia="zh-CN"/>
        </w:rPr>
        <w:t>2.条文中指明应按其他有关标准、规范执行的要求为：“应符合……的规定（要求）”或“应按照……执行”，如相关标准、规范有更新，按最新文件要求执行</w:t>
      </w:r>
      <w:r>
        <w:rPr>
          <w:highlight w:val="none"/>
          <w:lang w:eastAsia="zh-CN"/>
        </w:rPr>
        <w:t>。</w:t>
      </w:r>
    </w:p>
    <w:p>
      <w:pPr>
        <w:pStyle w:val="2"/>
        <w:keepNext w:val="0"/>
        <w:keepLines w:val="0"/>
        <w:spacing w:before="0" w:after="0" w:line="524" w:lineRule="exact"/>
        <w:ind w:right="298"/>
        <w:jc w:val="center"/>
        <w:rPr>
          <w:rFonts w:ascii="微软雅黑" w:hAnsi="微软雅黑" w:eastAsia="微软雅黑" w:cs="微软雅黑"/>
          <w:b/>
          <w:bCs/>
          <w:color w:val="auto"/>
          <w:sz w:val="32"/>
          <w:szCs w:val="32"/>
          <w:highlight w:val="none"/>
          <w:lang w:eastAsia="zh-CN"/>
        </w:rPr>
      </w:pPr>
      <w:bookmarkStart w:id="42" w:name="_Toc20921"/>
      <w:r>
        <w:rPr>
          <w:rFonts w:ascii="微软雅黑" w:hAnsi="微软雅黑" w:eastAsia="微软雅黑" w:cs="微软雅黑"/>
          <w:b/>
          <w:bCs/>
          <w:color w:val="auto"/>
          <w:sz w:val="32"/>
          <w:szCs w:val="32"/>
          <w:highlight w:val="none"/>
          <w:lang w:eastAsia="zh-CN"/>
        </w:rPr>
        <w:t>附录</w:t>
      </w:r>
      <w:bookmarkEnd w:id="42"/>
    </w:p>
    <w:p>
      <w:pPr>
        <w:pStyle w:val="12"/>
        <w:spacing w:before="11"/>
        <w:ind w:left="0"/>
        <w:rPr>
          <w:rFonts w:ascii="微软雅黑"/>
          <w:b/>
          <w:sz w:val="20"/>
          <w:highlight w:val="none"/>
          <w:lang w:eastAsia="zh-CN"/>
        </w:r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43" w:name="_bookmark30"/>
      <w:bookmarkEnd w:id="43"/>
      <w:r>
        <w:rPr>
          <w:rFonts w:ascii="微软雅黑" w:hAnsi="微软雅黑" w:eastAsia="微软雅黑" w:cs="微软雅黑"/>
          <w:b/>
          <w:bCs/>
          <w:color w:val="auto"/>
          <w:sz w:val="30"/>
          <w:szCs w:val="30"/>
          <w:highlight w:val="none"/>
          <w:lang w:eastAsia="zh-CN"/>
        </w:rPr>
        <w:t>附录一 名词解释</w:t>
      </w:r>
    </w:p>
    <w:p>
      <w:pPr>
        <w:pStyle w:val="12"/>
        <w:spacing w:before="228" w:line="381" w:lineRule="auto"/>
        <w:ind w:right="259" w:firstLine="559"/>
        <w:rPr>
          <w:highlight w:val="none"/>
          <w:lang w:eastAsia="zh-CN"/>
        </w:rPr>
      </w:pPr>
      <w:r>
        <w:rPr>
          <w:rFonts w:hint="eastAsia" w:ascii="Times New Roman" w:eastAsia="Times New Roman"/>
          <w:highlight w:val="none"/>
          <w:lang w:eastAsia="zh-CN"/>
        </w:rPr>
        <w:t>1.</w:t>
      </w:r>
      <w:r>
        <w:rPr>
          <w:spacing w:val="-16"/>
          <w:highlight w:val="none"/>
          <w:lang w:eastAsia="zh-CN"/>
        </w:rPr>
        <w:t>城镇开发边界：是指在一定时期内因城镇发展需要，可以集中进行城镇开发建设，重点完善城镇功能的区域边界，涉及城市、建制镇以及各类开发区等。</w:t>
      </w:r>
    </w:p>
    <w:p>
      <w:pPr>
        <w:pStyle w:val="12"/>
        <w:spacing w:before="1" w:line="384" w:lineRule="auto"/>
        <w:ind w:right="397" w:firstLine="559"/>
        <w:jc w:val="both"/>
        <w:rPr>
          <w:highlight w:val="none"/>
          <w:lang w:eastAsia="zh-CN"/>
        </w:rPr>
      </w:pPr>
      <w:r>
        <w:rPr>
          <w:rFonts w:hint="eastAsia" w:ascii="Times New Roman" w:eastAsia="Times New Roman"/>
          <w:highlight w:val="none"/>
          <w:lang w:eastAsia="zh-CN"/>
        </w:rPr>
        <w:t>2.</w:t>
      </w:r>
      <w:r>
        <w:rPr>
          <w:spacing w:val="-17"/>
          <w:highlight w:val="none"/>
          <w:lang w:eastAsia="zh-CN"/>
        </w:rPr>
        <w:t>村庄建设边界：</w:t>
      </w:r>
      <w:r>
        <w:rPr>
          <w:rFonts w:hint="eastAsia"/>
          <w:spacing w:val="-17"/>
          <w:highlight w:val="none"/>
          <w:lang w:eastAsia="zh-CN"/>
        </w:rPr>
        <w:t>是指在一定时期内，可以进行村庄开发建设及需要重点管控的国土空间范围，是规划相对集中的农村居民点建设用地以及因村庄建设和发展需要必须实行规划控制的区域</w:t>
      </w:r>
      <w:r>
        <w:rPr>
          <w:spacing w:val="-7"/>
          <w:highlight w:val="none"/>
          <w:lang w:eastAsia="zh-CN"/>
        </w:rPr>
        <w:t>。</w:t>
      </w:r>
    </w:p>
    <w:p>
      <w:pPr>
        <w:pStyle w:val="12"/>
        <w:spacing w:line="381" w:lineRule="auto"/>
        <w:ind w:right="392" w:firstLine="559"/>
        <w:jc w:val="both"/>
        <w:rPr>
          <w:highlight w:val="none"/>
          <w:lang w:eastAsia="zh-CN"/>
        </w:rPr>
      </w:pPr>
      <w:r>
        <w:rPr>
          <w:rFonts w:hint="eastAsia" w:ascii="Times New Roman" w:eastAsia="Times New Roman"/>
          <w:highlight w:val="none"/>
          <w:lang w:eastAsia="zh-CN"/>
        </w:rPr>
        <w:t>3.</w:t>
      </w:r>
      <w:r>
        <w:rPr>
          <w:spacing w:val="-9"/>
          <w:highlight w:val="none"/>
          <w:lang w:eastAsia="zh-CN"/>
        </w:rPr>
        <w:t>村庄建设用地</w:t>
      </w:r>
      <w:r>
        <w:rPr>
          <w:highlight w:val="none"/>
          <w:lang w:eastAsia="zh-CN"/>
        </w:rPr>
        <w:t>（</w:t>
      </w:r>
      <w:r>
        <w:rPr>
          <w:rFonts w:ascii="Times New Roman" w:eastAsia="Times New Roman"/>
          <w:highlight w:val="none"/>
          <w:lang w:eastAsia="zh-CN"/>
        </w:rPr>
        <w:t>203</w:t>
      </w:r>
      <w:r>
        <w:rPr>
          <w:highlight w:val="none"/>
          <w:lang w:eastAsia="zh-CN"/>
        </w:rPr>
        <w:t>图斑</w:t>
      </w:r>
      <w:r>
        <w:rPr>
          <w:spacing w:val="-23"/>
          <w:highlight w:val="none"/>
          <w:lang w:eastAsia="zh-CN"/>
        </w:rPr>
        <w:t>）</w:t>
      </w:r>
      <w:r>
        <w:rPr>
          <w:spacing w:val="-9"/>
          <w:highlight w:val="none"/>
          <w:lang w:eastAsia="zh-CN"/>
        </w:rPr>
        <w:t>：</w:t>
      </w:r>
      <w:r>
        <w:rPr>
          <w:rFonts w:hint="eastAsia"/>
          <w:spacing w:val="-9"/>
          <w:highlight w:val="none"/>
          <w:lang w:eastAsia="zh-CN"/>
        </w:rPr>
        <w:t>是指村庄住宅、公共服务设施、市政公用设施、村庄产业用地等各项建设项目用地</w:t>
      </w:r>
      <w:r>
        <w:rPr>
          <w:spacing w:val="-6"/>
          <w:highlight w:val="none"/>
          <w:lang w:eastAsia="zh-CN"/>
        </w:rPr>
        <w:t>。</w:t>
      </w:r>
    </w:p>
    <w:p>
      <w:pPr>
        <w:pStyle w:val="12"/>
        <w:spacing w:line="381" w:lineRule="auto"/>
        <w:ind w:right="398" w:firstLine="559"/>
        <w:rPr>
          <w:highlight w:val="none"/>
          <w:lang w:eastAsia="zh-CN"/>
        </w:rPr>
      </w:pPr>
      <w:r>
        <w:rPr>
          <w:rFonts w:hint="eastAsia" w:ascii="Times New Roman" w:eastAsia="Times New Roman"/>
          <w:highlight w:val="none"/>
          <w:lang w:eastAsia="zh-CN"/>
        </w:rPr>
        <w:t>4.</w:t>
      </w:r>
      <w:r>
        <w:rPr>
          <w:spacing w:val="-16"/>
          <w:highlight w:val="none"/>
          <w:lang w:eastAsia="zh-CN"/>
        </w:rPr>
        <w:t>农村宅基地：</w:t>
      </w:r>
      <w:r>
        <w:rPr>
          <w:rFonts w:hint="eastAsia"/>
          <w:spacing w:val="-16"/>
          <w:highlight w:val="none"/>
          <w:lang w:eastAsia="zh-CN"/>
        </w:rPr>
        <w:t>是指农村村民合法使用或依法批准，用于建造住宅及其附属设施的集体建设用地，包括住房、附属用房和庭院等用地</w:t>
      </w:r>
      <w:r>
        <w:rPr>
          <w:spacing w:val="-3"/>
          <w:highlight w:val="none"/>
          <w:lang w:eastAsia="zh-CN"/>
        </w:rPr>
        <w:t>。</w:t>
      </w:r>
    </w:p>
    <w:p>
      <w:pPr>
        <w:pStyle w:val="12"/>
        <w:spacing w:line="381" w:lineRule="auto"/>
        <w:ind w:right="396" w:firstLine="559"/>
        <w:rPr>
          <w:highlight w:val="none"/>
          <w:lang w:eastAsia="zh-CN"/>
        </w:rPr>
      </w:pPr>
      <w:r>
        <w:rPr>
          <w:rFonts w:hint="eastAsia" w:ascii="Times New Roman" w:eastAsia="Times New Roman"/>
          <w:highlight w:val="none"/>
          <w:lang w:eastAsia="zh-CN"/>
        </w:rPr>
        <w:t>5.</w:t>
      </w:r>
      <w:r>
        <w:rPr>
          <w:spacing w:val="-15"/>
          <w:highlight w:val="none"/>
          <w:lang w:eastAsia="zh-CN"/>
        </w:rPr>
        <w:t>乡村建筑：</w:t>
      </w:r>
      <w:r>
        <w:rPr>
          <w:rFonts w:hint="eastAsia"/>
          <w:spacing w:val="-15"/>
          <w:highlight w:val="none"/>
          <w:lang w:eastAsia="zh-CN"/>
        </w:rPr>
        <w:t>是指村庄建设用地上各类建筑和附属设施的总称，主要包括居住建筑（村民住房）、公共建筑和生产性建筑3大类</w:t>
      </w:r>
      <w:r>
        <w:rPr>
          <w:spacing w:val="-2"/>
          <w:highlight w:val="none"/>
          <w:lang w:eastAsia="zh-CN"/>
        </w:rPr>
        <w:t>。</w:t>
      </w:r>
    </w:p>
    <w:p>
      <w:pPr>
        <w:pStyle w:val="12"/>
        <w:spacing w:before="2"/>
        <w:ind w:left="659"/>
        <w:rPr>
          <w:highlight w:val="none"/>
          <w:lang w:eastAsia="zh-CN"/>
        </w:rPr>
      </w:pPr>
      <w:r>
        <w:rPr>
          <w:rFonts w:hint="eastAsia" w:ascii="Times New Roman" w:hAnsi="Times New Roman" w:eastAsia="Times New Roman"/>
          <w:highlight w:val="none"/>
          <w:lang w:eastAsia="zh-CN"/>
        </w:rPr>
        <w:t>6.</w:t>
      </w:r>
      <w:r>
        <w:rPr>
          <w:highlight w:val="none"/>
          <w:lang w:eastAsia="zh-CN"/>
        </w:rPr>
        <w:t>±</w:t>
      </w:r>
      <w:r>
        <w:rPr>
          <w:rFonts w:ascii="Times New Roman" w:hAnsi="Times New Roman" w:eastAsia="Times New Roman"/>
          <w:highlight w:val="none"/>
          <w:lang w:eastAsia="zh-CN"/>
        </w:rPr>
        <w:t>0.000</w:t>
      </w:r>
      <w:r>
        <w:rPr>
          <w:highlight w:val="none"/>
          <w:lang w:eastAsia="zh-CN"/>
        </w:rPr>
        <w:t>标高：是指建筑物室外地面标高。</w:t>
      </w:r>
    </w:p>
    <w:p>
      <w:pPr>
        <w:pStyle w:val="12"/>
        <w:spacing w:before="213" w:line="381" w:lineRule="auto"/>
        <w:ind w:right="398" w:firstLine="559"/>
        <w:rPr>
          <w:highlight w:val="none"/>
          <w:lang w:eastAsia="zh-CN"/>
        </w:rPr>
      </w:pPr>
      <w:r>
        <w:rPr>
          <w:rFonts w:hint="eastAsia" w:ascii="Times New Roman" w:eastAsia="Times New Roman"/>
          <w:highlight w:val="none"/>
          <w:lang w:eastAsia="zh-CN"/>
        </w:rPr>
        <w:t>7.</w:t>
      </w:r>
      <w:r>
        <w:rPr>
          <w:spacing w:val="-15"/>
          <w:highlight w:val="none"/>
          <w:lang w:eastAsia="zh-CN"/>
        </w:rPr>
        <w:t>防火间距：是指防止着火建筑在一定时间内引燃相邻建筑，便于消防扑救</w:t>
      </w:r>
      <w:r>
        <w:rPr>
          <w:spacing w:val="-1"/>
          <w:highlight w:val="none"/>
          <w:lang w:eastAsia="zh-CN"/>
        </w:rPr>
        <w:t>的间隔距离。</w:t>
      </w:r>
    </w:p>
    <w:p>
      <w:pPr>
        <w:pStyle w:val="12"/>
        <w:spacing w:before="1" w:line="381" w:lineRule="auto"/>
        <w:ind w:right="398" w:firstLine="559"/>
        <w:rPr>
          <w:highlight w:val="none"/>
          <w:lang w:eastAsia="zh-CN"/>
        </w:rPr>
      </w:pPr>
      <w:r>
        <w:rPr>
          <w:rFonts w:hint="eastAsia" w:ascii="Times New Roman" w:eastAsia="Times New Roman"/>
          <w:highlight w:val="none"/>
          <w:lang w:eastAsia="zh-CN"/>
        </w:rPr>
        <w:t>8.</w:t>
      </w:r>
      <w:r>
        <w:rPr>
          <w:spacing w:val="-16"/>
          <w:highlight w:val="none"/>
          <w:lang w:eastAsia="zh-CN"/>
        </w:rPr>
        <w:t>国土空间规划编制资质：国土空间规划编制资质包括城乡规划编制资质、</w:t>
      </w:r>
      <w:r>
        <w:rPr>
          <w:spacing w:val="-8"/>
          <w:highlight w:val="none"/>
          <w:lang w:eastAsia="zh-CN"/>
        </w:rPr>
        <w:t>土地规划编制资质等。</w:t>
      </w:r>
    </w:p>
    <w:p>
      <w:pPr>
        <w:spacing w:line="381" w:lineRule="auto"/>
        <w:rPr>
          <w:highlight w:val="none"/>
          <w:lang w:eastAsia="zh-CN"/>
        </w:rPr>
        <w:sectPr>
          <w:pgSz w:w="11910" w:h="16840"/>
          <w:pgMar w:top="156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44" w:name="_bookmark31"/>
      <w:bookmarkEnd w:id="44"/>
      <w:r>
        <w:rPr>
          <w:rFonts w:ascii="微软雅黑" w:hAnsi="微软雅黑" w:eastAsia="微软雅黑" w:cs="微软雅黑"/>
          <w:b/>
          <w:bCs/>
          <w:color w:val="auto"/>
          <w:sz w:val="30"/>
          <w:szCs w:val="30"/>
          <w:highlight w:val="none"/>
          <w:lang w:eastAsia="zh-CN"/>
        </w:rPr>
        <w:t>附录二 指标计算规则</w:t>
      </w:r>
    </w:p>
    <w:p>
      <w:pPr>
        <w:pStyle w:val="12"/>
        <w:spacing w:before="147" w:line="381" w:lineRule="auto"/>
        <w:ind w:right="401" w:firstLine="559"/>
        <w:rPr>
          <w:highlight w:val="none"/>
          <w:lang w:eastAsia="zh-CN"/>
        </w:rPr>
      </w:pPr>
      <w:r>
        <w:rPr>
          <w:rFonts w:hint="eastAsia" w:ascii="Times New Roman" w:eastAsia="Times New Roman"/>
          <w:highlight w:val="none"/>
          <w:lang w:eastAsia="zh-CN"/>
        </w:rPr>
        <w:t>1.</w:t>
      </w:r>
      <w:r>
        <w:rPr>
          <w:highlight w:val="none"/>
          <w:lang w:eastAsia="zh-CN"/>
        </w:rPr>
        <w:t>平屋顶建筑高度应按室外设计地坪至建筑物女儿墙顶点的高度计算；无女儿墙的建筑应</w:t>
      </w:r>
      <w:r>
        <w:rPr>
          <w:rFonts w:hint="eastAsia"/>
          <w:highlight w:val="none"/>
          <w:lang w:eastAsia="zh-CN"/>
        </w:rPr>
        <w:t>按</w:t>
      </w:r>
      <w:r>
        <w:rPr>
          <w:highlight w:val="none"/>
          <w:lang w:eastAsia="zh-CN"/>
        </w:rPr>
        <w:t>其屋面檐口顶点的高度计算。</w:t>
      </w:r>
    </w:p>
    <w:p>
      <w:pPr>
        <w:pStyle w:val="12"/>
        <w:spacing w:before="1" w:line="381" w:lineRule="auto"/>
        <w:ind w:right="395" w:firstLine="559"/>
        <w:jc w:val="both"/>
        <w:rPr>
          <w:highlight w:val="none"/>
          <w:lang w:eastAsia="zh-CN"/>
        </w:rPr>
      </w:pPr>
      <w:r>
        <w:rPr>
          <w:rFonts w:hint="eastAsia" w:ascii="Times New Roman" w:eastAsia="Times New Roman"/>
          <w:highlight w:val="none"/>
          <w:lang w:eastAsia="zh-CN"/>
        </w:rPr>
        <w:t>2.</w:t>
      </w:r>
      <w:r>
        <w:rPr>
          <w:spacing w:val="-11"/>
          <w:highlight w:val="none"/>
          <w:lang w:eastAsia="zh-CN"/>
        </w:rPr>
        <w:t>坡屋顶屋面坡度比小于或等于</w:t>
      </w:r>
      <w:r>
        <w:rPr>
          <w:rFonts w:ascii="Times New Roman" w:eastAsia="Times New Roman"/>
          <w:highlight w:val="none"/>
          <w:lang w:eastAsia="zh-CN"/>
        </w:rPr>
        <w:t>1:2.5</w:t>
      </w:r>
      <w:r>
        <w:rPr>
          <w:spacing w:val="-6"/>
          <w:highlight w:val="none"/>
          <w:lang w:eastAsia="zh-CN"/>
        </w:rPr>
        <w:t>的坡顶建筑，建筑高度应按室外设计</w:t>
      </w:r>
      <w:r>
        <w:rPr>
          <w:spacing w:val="-8"/>
          <w:highlight w:val="none"/>
          <w:lang w:eastAsia="zh-CN"/>
        </w:rPr>
        <w:t>地坪至屋面檐口或坡屋面最低点的高度计算，存在多个檐口高度时，则要按其中</w:t>
      </w:r>
      <w:r>
        <w:rPr>
          <w:spacing w:val="-6"/>
          <w:highlight w:val="none"/>
          <w:lang w:eastAsia="zh-CN"/>
        </w:rPr>
        <w:t>的最大值计算；坡屋顶屋面坡度比大于</w:t>
      </w:r>
      <w:r>
        <w:rPr>
          <w:rFonts w:ascii="Times New Roman" w:eastAsia="Times New Roman"/>
          <w:highlight w:val="none"/>
          <w:lang w:eastAsia="zh-CN"/>
        </w:rPr>
        <w:t>1:2.5</w:t>
      </w:r>
      <w:r>
        <w:rPr>
          <w:spacing w:val="-3"/>
          <w:highlight w:val="none"/>
          <w:lang w:eastAsia="zh-CN"/>
        </w:rPr>
        <w:t>的坡顶建筑，建筑高度应按室外设计地坪至屋脊的高度计算。</w:t>
      </w:r>
    </w:p>
    <w:p>
      <w:pPr>
        <w:pStyle w:val="12"/>
        <w:spacing w:before="4" w:line="381" w:lineRule="auto"/>
        <w:ind w:right="395" w:firstLine="559"/>
        <w:rPr>
          <w:highlight w:val="none"/>
          <w:lang w:eastAsia="zh-CN"/>
        </w:rPr>
      </w:pPr>
      <w:r>
        <w:rPr>
          <w:rFonts w:hint="eastAsia" w:ascii="Times New Roman" w:eastAsia="Times New Roman"/>
          <w:highlight w:val="none"/>
          <w:lang w:eastAsia="zh-CN"/>
        </w:rPr>
        <w:t>3.</w:t>
      </w:r>
      <w:r>
        <w:rPr>
          <w:spacing w:val="-16"/>
          <w:highlight w:val="none"/>
          <w:lang w:eastAsia="zh-CN"/>
        </w:rPr>
        <w:t>当同一座建筑有多种屋面形式，或多个室外设计地坪时，建筑高度应分别</w:t>
      </w:r>
      <w:r>
        <w:rPr>
          <w:spacing w:val="-3"/>
          <w:highlight w:val="none"/>
          <w:lang w:eastAsia="zh-CN"/>
        </w:rPr>
        <w:t>计算后取其中最大值。</w:t>
      </w:r>
    </w:p>
    <w:p>
      <w:pPr>
        <w:pStyle w:val="12"/>
        <w:spacing w:before="4" w:line="381" w:lineRule="auto"/>
        <w:ind w:right="396" w:firstLine="559"/>
        <w:jc w:val="both"/>
        <w:rPr>
          <w:highlight w:val="none"/>
          <w:lang w:eastAsia="zh-CN"/>
        </w:rPr>
      </w:pPr>
      <w:r>
        <w:rPr>
          <w:rFonts w:hint="eastAsia" w:ascii="Times New Roman" w:eastAsia="Times New Roman"/>
          <w:highlight w:val="none"/>
          <w:lang w:eastAsia="zh-CN"/>
        </w:rPr>
        <w:t>4.</w:t>
      </w:r>
      <w:r>
        <w:rPr>
          <w:spacing w:val="-15"/>
          <w:highlight w:val="none"/>
          <w:lang w:eastAsia="zh-CN"/>
        </w:rPr>
        <w:t>屋顶上的附属物，如电梯间、楼梯间、水箱、烟囱等，其总面积不超过屋</w:t>
      </w:r>
      <w:r>
        <w:rPr>
          <w:spacing w:val="-25"/>
          <w:highlight w:val="none"/>
          <w:lang w:eastAsia="zh-CN"/>
        </w:rPr>
        <w:t>顶面积的</w:t>
      </w:r>
      <w:r>
        <w:rPr>
          <w:rFonts w:ascii="Times New Roman" w:eastAsia="Times New Roman"/>
          <w:spacing w:val="-6"/>
          <w:highlight w:val="none"/>
          <w:lang w:eastAsia="zh-CN"/>
        </w:rPr>
        <w:t>25%</w:t>
      </w:r>
      <w:r>
        <w:rPr>
          <w:spacing w:val="-11"/>
          <w:highlight w:val="none"/>
          <w:lang w:eastAsia="zh-CN"/>
        </w:rPr>
        <w:t>，且高度不超过</w:t>
      </w:r>
      <w:r>
        <w:rPr>
          <w:rFonts w:ascii="Times New Roman" w:eastAsia="Times New Roman"/>
          <w:highlight w:val="none"/>
          <w:lang w:eastAsia="zh-CN"/>
        </w:rPr>
        <w:t>4</w:t>
      </w:r>
      <w:r>
        <w:rPr>
          <w:spacing w:val="-9"/>
          <w:highlight w:val="none"/>
          <w:lang w:eastAsia="zh-CN"/>
        </w:rPr>
        <w:t>米的，不计入建筑高度之内。空调冷却塔、通信</w:t>
      </w:r>
      <w:r>
        <w:rPr>
          <w:spacing w:val="-6"/>
          <w:highlight w:val="none"/>
          <w:lang w:eastAsia="zh-CN"/>
        </w:rPr>
        <w:t>设施等设备高度不计入建筑高度。</w:t>
      </w:r>
    </w:p>
    <w:p>
      <w:pPr>
        <w:rPr>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6"/>
        <w:jc w:val="center"/>
        <w:rPr>
          <w:rFonts w:ascii="微软雅黑" w:hAnsi="微软雅黑" w:eastAsia="微软雅黑" w:cs="微软雅黑"/>
          <w:b/>
          <w:bCs/>
          <w:color w:val="auto"/>
          <w:sz w:val="30"/>
          <w:szCs w:val="30"/>
          <w:highlight w:val="none"/>
          <w:lang w:eastAsia="zh-CN"/>
        </w:rPr>
      </w:pPr>
      <w:bookmarkStart w:id="45" w:name="_bookmark32"/>
      <w:bookmarkEnd w:id="45"/>
      <w:r>
        <w:rPr>
          <w:rFonts w:ascii="微软雅黑" w:hAnsi="微软雅黑" w:eastAsia="微软雅黑" w:cs="微软雅黑"/>
          <w:b/>
          <w:bCs/>
          <w:color w:val="auto"/>
          <w:sz w:val="30"/>
          <w:szCs w:val="30"/>
          <w:highlight w:val="none"/>
          <w:lang w:eastAsia="zh-CN"/>
        </w:rPr>
        <w:t>附录三 参照的法律法规、政策文件和标准规范</w:t>
      </w:r>
    </w:p>
    <w:p>
      <w:pPr>
        <w:pStyle w:val="6"/>
        <w:keepNext w:val="0"/>
        <w:keepLines w:val="0"/>
        <w:spacing w:before="136" w:after="0"/>
        <w:ind w:left="662"/>
        <w:rPr>
          <w:rFonts w:ascii="微软雅黑" w:hAnsi="微软雅黑" w:eastAsia="微软雅黑" w:cs="微软雅黑"/>
          <w:b/>
          <w:bCs/>
          <w:color w:val="auto"/>
          <w:sz w:val="28"/>
          <w:szCs w:val="28"/>
          <w:highlight w:val="none"/>
        </w:rPr>
      </w:pPr>
      <w:r>
        <w:rPr>
          <w:rFonts w:ascii="微软雅黑" w:hAnsi="微软雅黑" w:eastAsia="微软雅黑" w:cs="微软雅黑"/>
          <w:b/>
          <w:bCs/>
          <w:color w:val="auto"/>
          <w:sz w:val="28"/>
          <w:szCs w:val="28"/>
          <w:highlight w:val="none"/>
        </w:rPr>
        <w:t>（一）法律法规</w:t>
      </w:r>
    </w:p>
    <w:p>
      <w:pPr>
        <w:pStyle w:val="39"/>
        <w:numPr>
          <w:ilvl w:val="0"/>
          <w:numId w:val="5"/>
        </w:numPr>
        <w:tabs>
          <w:tab w:val="left" w:pos="1079"/>
          <w:tab w:val="left" w:pos="1080"/>
        </w:tabs>
        <w:spacing w:before="147"/>
        <w:ind w:hanging="421"/>
        <w:contextualSpacing w:val="0"/>
        <w:rPr>
          <w:sz w:val="28"/>
          <w:highlight w:val="none"/>
          <w:lang w:eastAsia="zh-CN"/>
        </w:rPr>
      </w:pPr>
      <w:r>
        <w:rPr>
          <w:spacing w:val="0"/>
          <w:sz w:val="28"/>
          <w:highlight w:val="none"/>
          <w:lang w:eastAsia="zh-CN"/>
        </w:rPr>
        <w:t>《中华人民共和国土地管理法》</w:t>
      </w:r>
      <w:r>
        <w:rPr>
          <w:sz w:val="28"/>
          <w:highlight w:val="none"/>
          <w:lang w:eastAsia="zh-CN"/>
        </w:rPr>
        <w:t>（</w:t>
      </w:r>
      <w:r>
        <w:rPr>
          <w:rFonts w:ascii="Times New Roman" w:eastAsia="Times New Roman"/>
          <w:sz w:val="28"/>
          <w:highlight w:val="none"/>
          <w:lang w:eastAsia="zh-CN"/>
        </w:rPr>
        <w:t>2019</w:t>
      </w:r>
      <w:r>
        <w:rPr>
          <w:spacing w:val="0"/>
          <w:sz w:val="28"/>
          <w:highlight w:val="none"/>
          <w:lang w:eastAsia="zh-CN"/>
        </w:rPr>
        <w:t>年修订</w:t>
      </w:r>
      <w:r>
        <w:rPr>
          <w:sz w:val="28"/>
          <w:highlight w:val="none"/>
          <w:lang w:eastAsia="zh-CN"/>
        </w:rPr>
        <w:t>）；</w:t>
      </w:r>
    </w:p>
    <w:p>
      <w:pPr>
        <w:pStyle w:val="39"/>
        <w:numPr>
          <w:ilvl w:val="0"/>
          <w:numId w:val="5"/>
        </w:numPr>
        <w:tabs>
          <w:tab w:val="left" w:pos="1079"/>
          <w:tab w:val="left" w:pos="1080"/>
        </w:tabs>
        <w:spacing w:before="212"/>
        <w:ind w:hanging="421"/>
        <w:contextualSpacing w:val="0"/>
        <w:rPr>
          <w:sz w:val="28"/>
          <w:highlight w:val="none"/>
          <w:lang w:eastAsia="zh-CN"/>
        </w:rPr>
      </w:pPr>
      <w:r>
        <w:rPr>
          <w:spacing w:val="0"/>
          <w:sz w:val="28"/>
          <w:highlight w:val="none"/>
          <w:lang w:eastAsia="zh-CN"/>
        </w:rPr>
        <w:t>《中华人民共和国城乡规划法》</w:t>
      </w:r>
      <w:r>
        <w:rPr>
          <w:sz w:val="28"/>
          <w:highlight w:val="none"/>
          <w:lang w:eastAsia="zh-CN"/>
        </w:rPr>
        <w:t>（</w:t>
      </w:r>
      <w:r>
        <w:rPr>
          <w:rFonts w:ascii="Times New Roman" w:eastAsia="Times New Roman"/>
          <w:sz w:val="28"/>
          <w:highlight w:val="none"/>
          <w:lang w:eastAsia="zh-CN"/>
        </w:rPr>
        <w:t>2019</w:t>
      </w:r>
      <w:r>
        <w:rPr>
          <w:spacing w:val="0"/>
          <w:sz w:val="28"/>
          <w:highlight w:val="none"/>
          <w:lang w:eastAsia="zh-CN"/>
        </w:rPr>
        <w:t>年修正</w:t>
      </w:r>
      <w:r>
        <w:rPr>
          <w:sz w:val="28"/>
          <w:highlight w:val="none"/>
          <w:lang w:eastAsia="zh-CN"/>
        </w:rPr>
        <w:t>）；</w:t>
      </w:r>
    </w:p>
    <w:p>
      <w:pPr>
        <w:pStyle w:val="39"/>
        <w:numPr>
          <w:ilvl w:val="0"/>
          <w:numId w:val="5"/>
        </w:numPr>
        <w:tabs>
          <w:tab w:val="left" w:pos="1079"/>
          <w:tab w:val="left" w:pos="1080"/>
        </w:tabs>
        <w:spacing w:before="212"/>
        <w:ind w:hanging="421"/>
        <w:contextualSpacing w:val="0"/>
        <w:rPr>
          <w:sz w:val="28"/>
          <w:highlight w:val="none"/>
          <w:lang w:eastAsia="zh-CN"/>
        </w:rPr>
      </w:pPr>
      <w:r>
        <w:rPr>
          <w:spacing w:val="0"/>
          <w:sz w:val="28"/>
          <w:highlight w:val="none"/>
          <w:lang w:eastAsia="zh-CN"/>
        </w:rPr>
        <w:t>《中华人民共和国乡村振兴促进法》</w:t>
      </w:r>
      <w:r>
        <w:rPr>
          <w:sz w:val="28"/>
          <w:highlight w:val="none"/>
          <w:lang w:eastAsia="zh-CN"/>
        </w:rPr>
        <w:t>（</w:t>
      </w:r>
      <w:r>
        <w:rPr>
          <w:rFonts w:ascii="Times New Roman" w:eastAsia="Times New Roman"/>
          <w:sz w:val="28"/>
          <w:highlight w:val="none"/>
          <w:lang w:eastAsia="zh-CN"/>
        </w:rPr>
        <w:t>2021</w:t>
      </w:r>
      <w:r>
        <w:rPr>
          <w:spacing w:val="0"/>
          <w:sz w:val="28"/>
          <w:highlight w:val="none"/>
          <w:lang w:eastAsia="zh-CN"/>
        </w:rPr>
        <w:t>年</w:t>
      </w:r>
      <w:r>
        <w:rPr>
          <w:rFonts w:ascii="Times New Roman" w:eastAsia="Times New Roman"/>
          <w:sz w:val="28"/>
          <w:highlight w:val="none"/>
          <w:lang w:eastAsia="zh-CN"/>
        </w:rPr>
        <w:t>6</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79"/>
          <w:tab w:val="left" w:pos="1080"/>
        </w:tabs>
        <w:spacing w:before="213"/>
        <w:ind w:hanging="421"/>
        <w:contextualSpacing w:val="0"/>
        <w:rPr>
          <w:sz w:val="28"/>
          <w:highlight w:val="none"/>
          <w:lang w:eastAsia="zh-CN"/>
        </w:rPr>
      </w:pPr>
      <w:r>
        <w:rPr>
          <w:spacing w:val="0"/>
          <w:sz w:val="28"/>
          <w:highlight w:val="none"/>
          <w:lang w:eastAsia="zh-CN"/>
        </w:rPr>
        <w:t>《中华人民共和国环境保护法》</w:t>
      </w:r>
      <w:r>
        <w:rPr>
          <w:sz w:val="28"/>
          <w:highlight w:val="none"/>
          <w:lang w:eastAsia="zh-CN"/>
        </w:rPr>
        <w:t>（</w:t>
      </w:r>
      <w:r>
        <w:rPr>
          <w:rFonts w:ascii="Times New Roman" w:eastAsia="Times New Roman"/>
          <w:sz w:val="28"/>
          <w:highlight w:val="none"/>
          <w:lang w:eastAsia="zh-CN"/>
        </w:rPr>
        <w:t>2014</w:t>
      </w:r>
      <w:r>
        <w:rPr>
          <w:spacing w:val="0"/>
          <w:sz w:val="28"/>
          <w:highlight w:val="none"/>
          <w:lang w:eastAsia="zh-CN"/>
        </w:rPr>
        <w:t>年修订</w:t>
      </w:r>
      <w:r>
        <w:rPr>
          <w:sz w:val="28"/>
          <w:highlight w:val="none"/>
          <w:lang w:eastAsia="zh-CN"/>
        </w:rPr>
        <w:t>）；</w:t>
      </w:r>
    </w:p>
    <w:p>
      <w:pPr>
        <w:pStyle w:val="39"/>
        <w:numPr>
          <w:ilvl w:val="0"/>
          <w:numId w:val="5"/>
        </w:numPr>
        <w:tabs>
          <w:tab w:val="left" w:pos="1079"/>
          <w:tab w:val="left" w:pos="1080"/>
        </w:tabs>
        <w:spacing w:before="213"/>
        <w:ind w:hanging="421"/>
        <w:contextualSpacing w:val="0"/>
        <w:rPr>
          <w:sz w:val="28"/>
          <w:highlight w:val="none"/>
          <w:lang w:eastAsia="zh-CN"/>
        </w:rPr>
      </w:pPr>
      <w:r>
        <w:rPr>
          <w:spacing w:val="0"/>
          <w:sz w:val="28"/>
          <w:highlight w:val="none"/>
          <w:lang w:eastAsia="zh-CN"/>
        </w:rPr>
        <w:t>《中华人民共和国水法》</w:t>
      </w:r>
      <w:r>
        <w:rPr>
          <w:sz w:val="28"/>
          <w:highlight w:val="none"/>
          <w:lang w:eastAsia="zh-CN"/>
        </w:rPr>
        <w:t>（</w:t>
      </w:r>
      <w:r>
        <w:rPr>
          <w:rFonts w:ascii="Times New Roman" w:eastAsia="Times New Roman"/>
          <w:sz w:val="28"/>
          <w:highlight w:val="none"/>
          <w:lang w:eastAsia="zh-CN"/>
        </w:rPr>
        <w:t>2016</w:t>
      </w:r>
      <w:r>
        <w:rPr>
          <w:spacing w:val="0"/>
          <w:sz w:val="28"/>
          <w:highlight w:val="none"/>
          <w:lang w:eastAsia="zh-CN"/>
        </w:rPr>
        <w:t>年修正</w:t>
      </w:r>
      <w:r>
        <w:rPr>
          <w:sz w:val="28"/>
          <w:highlight w:val="none"/>
          <w:lang w:eastAsia="zh-CN"/>
        </w:rPr>
        <w:t>）；</w:t>
      </w:r>
    </w:p>
    <w:p>
      <w:pPr>
        <w:pStyle w:val="39"/>
        <w:numPr>
          <w:ilvl w:val="0"/>
          <w:numId w:val="5"/>
        </w:numPr>
        <w:tabs>
          <w:tab w:val="left" w:pos="1079"/>
          <w:tab w:val="left" w:pos="1080"/>
        </w:tabs>
        <w:spacing w:before="212"/>
        <w:ind w:hanging="421"/>
        <w:contextualSpacing w:val="0"/>
        <w:rPr>
          <w:sz w:val="28"/>
          <w:highlight w:val="none"/>
          <w:lang w:eastAsia="zh-CN"/>
        </w:rPr>
      </w:pPr>
      <w:r>
        <w:rPr>
          <w:spacing w:val="0"/>
          <w:sz w:val="28"/>
          <w:highlight w:val="none"/>
          <w:lang w:eastAsia="zh-CN"/>
        </w:rPr>
        <w:t>《中华人民共和国文物保护法》</w:t>
      </w:r>
      <w:r>
        <w:rPr>
          <w:sz w:val="28"/>
          <w:highlight w:val="none"/>
          <w:lang w:eastAsia="zh-CN"/>
        </w:rPr>
        <w:t>（</w:t>
      </w:r>
      <w:r>
        <w:rPr>
          <w:rFonts w:ascii="Times New Roman" w:eastAsia="Times New Roman"/>
          <w:sz w:val="28"/>
          <w:highlight w:val="none"/>
          <w:lang w:eastAsia="zh-CN"/>
        </w:rPr>
        <w:t>2024</w:t>
      </w:r>
      <w:r>
        <w:rPr>
          <w:spacing w:val="0"/>
          <w:sz w:val="28"/>
          <w:highlight w:val="none"/>
          <w:lang w:eastAsia="zh-CN"/>
        </w:rPr>
        <w:t>年修订</w:t>
      </w:r>
      <w:r>
        <w:rPr>
          <w:sz w:val="28"/>
          <w:highlight w:val="none"/>
          <w:lang w:eastAsia="zh-CN"/>
        </w:rPr>
        <w:t>）；</w:t>
      </w:r>
    </w:p>
    <w:p>
      <w:pPr>
        <w:pStyle w:val="39"/>
        <w:numPr>
          <w:ilvl w:val="0"/>
          <w:numId w:val="5"/>
        </w:numPr>
        <w:tabs>
          <w:tab w:val="left" w:pos="1079"/>
          <w:tab w:val="left" w:pos="1080"/>
        </w:tabs>
        <w:spacing w:before="213"/>
        <w:ind w:hanging="421"/>
        <w:contextualSpacing w:val="0"/>
        <w:rPr>
          <w:sz w:val="28"/>
          <w:highlight w:val="none"/>
          <w:lang w:eastAsia="zh-CN"/>
        </w:rPr>
      </w:pPr>
      <w:r>
        <w:rPr>
          <w:spacing w:val="0"/>
          <w:sz w:val="28"/>
          <w:highlight w:val="none"/>
          <w:lang w:eastAsia="zh-CN"/>
        </w:rPr>
        <w:t>《中华人民共和国水污染防治法》</w:t>
      </w:r>
      <w:r>
        <w:rPr>
          <w:sz w:val="28"/>
          <w:highlight w:val="none"/>
          <w:lang w:eastAsia="zh-CN"/>
        </w:rPr>
        <w:t>（</w:t>
      </w:r>
      <w:r>
        <w:rPr>
          <w:rFonts w:ascii="Times New Roman" w:eastAsia="Times New Roman"/>
          <w:sz w:val="28"/>
          <w:highlight w:val="none"/>
          <w:lang w:eastAsia="zh-CN"/>
        </w:rPr>
        <w:t>2017</w:t>
      </w:r>
      <w:r>
        <w:rPr>
          <w:spacing w:val="0"/>
          <w:sz w:val="28"/>
          <w:highlight w:val="none"/>
          <w:lang w:eastAsia="zh-CN"/>
        </w:rPr>
        <w:t>年修正</w:t>
      </w:r>
      <w:r>
        <w:rPr>
          <w:sz w:val="28"/>
          <w:highlight w:val="none"/>
          <w:lang w:eastAsia="zh-CN"/>
        </w:rPr>
        <w:t>）；</w:t>
      </w:r>
    </w:p>
    <w:p>
      <w:pPr>
        <w:pStyle w:val="39"/>
        <w:numPr>
          <w:ilvl w:val="0"/>
          <w:numId w:val="5"/>
        </w:numPr>
        <w:tabs>
          <w:tab w:val="left" w:pos="1079"/>
          <w:tab w:val="left" w:pos="1080"/>
        </w:tabs>
        <w:spacing w:before="212"/>
        <w:ind w:hanging="421"/>
        <w:contextualSpacing w:val="0"/>
        <w:rPr>
          <w:sz w:val="28"/>
          <w:highlight w:val="none"/>
          <w:lang w:eastAsia="zh-CN"/>
        </w:rPr>
      </w:pPr>
      <w:r>
        <w:rPr>
          <w:spacing w:val="0"/>
          <w:sz w:val="28"/>
          <w:highlight w:val="none"/>
          <w:lang w:eastAsia="zh-CN"/>
        </w:rPr>
        <w:t>《中华人民共和国土壤污染防治法》</w:t>
      </w:r>
      <w:r>
        <w:rPr>
          <w:sz w:val="28"/>
          <w:highlight w:val="none"/>
          <w:lang w:eastAsia="zh-CN"/>
        </w:rPr>
        <w:t>（</w:t>
      </w:r>
      <w:r>
        <w:rPr>
          <w:rFonts w:ascii="Times New Roman" w:eastAsia="Times New Roman"/>
          <w:sz w:val="28"/>
          <w:highlight w:val="none"/>
          <w:lang w:eastAsia="zh-CN"/>
        </w:rPr>
        <w:t>2019</w:t>
      </w:r>
      <w:r>
        <w:rPr>
          <w:spacing w:val="0"/>
          <w:sz w:val="28"/>
          <w:highlight w:val="none"/>
          <w:lang w:eastAsia="zh-CN"/>
        </w:rPr>
        <w:t>年</w:t>
      </w:r>
      <w:r>
        <w:rPr>
          <w:rFonts w:ascii="Times New Roman" w:eastAsia="Times New Roman"/>
          <w:sz w:val="28"/>
          <w:highlight w:val="none"/>
          <w:lang w:eastAsia="zh-CN"/>
        </w:rPr>
        <w:t>1</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79"/>
          <w:tab w:val="left" w:pos="1080"/>
        </w:tabs>
        <w:spacing w:before="215"/>
        <w:ind w:hanging="421"/>
        <w:contextualSpacing w:val="0"/>
        <w:rPr>
          <w:sz w:val="28"/>
          <w:highlight w:val="none"/>
          <w:lang w:eastAsia="zh-CN"/>
        </w:rPr>
      </w:pPr>
      <w:r>
        <w:rPr>
          <w:spacing w:val="0"/>
          <w:sz w:val="28"/>
          <w:highlight w:val="none"/>
          <w:lang w:eastAsia="zh-CN"/>
        </w:rPr>
        <w:t>《中华人民共和国畜牧法》</w:t>
      </w:r>
      <w:r>
        <w:rPr>
          <w:sz w:val="28"/>
          <w:highlight w:val="none"/>
          <w:lang w:eastAsia="zh-CN"/>
        </w:rPr>
        <w:t>（</w:t>
      </w:r>
      <w:r>
        <w:rPr>
          <w:rFonts w:ascii="Times New Roman" w:eastAsia="Times New Roman"/>
          <w:sz w:val="28"/>
          <w:highlight w:val="none"/>
          <w:lang w:eastAsia="zh-CN"/>
        </w:rPr>
        <w:t>2023</w:t>
      </w:r>
      <w:r>
        <w:rPr>
          <w:spacing w:val="0"/>
          <w:sz w:val="28"/>
          <w:highlight w:val="none"/>
          <w:lang w:eastAsia="zh-CN"/>
        </w:rPr>
        <w:t>年</w:t>
      </w:r>
      <w:r>
        <w:rPr>
          <w:rFonts w:ascii="Times New Roman" w:eastAsia="Times New Roman"/>
          <w:sz w:val="28"/>
          <w:highlight w:val="none"/>
          <w:lang w:eastAsia="zh-CN"/>
        </w:rPr>
        <w:t>3</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79"/>
          <w:tab w:val="left" w:pos="1080"/>
        </w:tabs>
        <w:spacing w:before="215"/>
        <w:ind w:hanging="421"/>
        <w:contextualSpacing w:val="0"/>
        <w:rPr>
          <w:sz w:val="28"/>
          <w:highlight w:val="none"/>
          <w:lang w:eastAsia="zh-CN"/>
        </w:rPr>
      </w:pPr>
      <w:r>
        <w:rPr>
          <w:rFonts w:hint="eastAsia"/>
          <w:sz w:val="28"/>
          <w:highlight w:val="none"/>
          <w:lang w:eastAsia="zh-CN"/>
        </w:rPr>
        <w:t>《中华人民共和国森林法》（</w:t>
      </w:r>
      <w:r>
        <w:rPr>
          <w:rFonts w:ascii="Times New Roman" w:eastAsia="Times New Roman"/>
          <w:sz w:val="28"/>
          <w:highlight w:val="none"/>
          <w:lang w:eastAsia="zh-CN"/>
        </w:rPr>
        <w:t>2019</w:t>
      </w:r>
      <w:r>
        <w:rPr>
          <w:rFonts w:hint="eastAsia"/>
          <w:spacing w:val="0"/>
          <w:sz w:val="28"/>
          <w:highlight w:val="none"/>
          <w:lang w:val="en-US" w:eastAsia="zh-CN"/>
        </w:rPr>
        <w:t>年</w:t>
      </w:r>
      <w:r>
        <w:rPr>
          <w:spacing w:val="0"/>
          <w:sz w:val="28"/>
          <w:highlight w:val="none"/>
          <w:lang w:eastAsia="zh-CN"/>
        </w:rPr>
        <w:t>修订</w:t>
      </w:r>
      <w:r>
        <w:rPr>
          <w:rFonts w:hint="eastAsia"/>
          <w:sz w:val="28"/>
          <w:highlight w:val="none"/>
          <w:lang w:eastAsia="zh-CN"/>
        </w:rPr>
        <w:t>）；</w:t>
      </w:r>
    </w:p>
    <w:p>
      <w:pPr>
        <w:pStyle w:val="39"/>
        <w:numPr>
          <w:ilvl w:val="0"/>
          <w:numId w:val="5"/>
        </w:numPr>
        <w:tabs>
          <w:tab w:val="left" w:pos="1079"/>
          <w:tab w:val="left" w:pos="1080"/>
        </w:tabs>
        <w:spacing w:before="215"/>
        <w:ind w:hanging="421"/>
        <w:contextualSpacing w:val="0"/>
        <w:rPr>
          <w:rFonts w:ascii="Times New Roman" w:hAnsi="Times New Roman"/>
          <w:sz w:val="28"/>
          <w:highlight w:val="none"/>
          <w:lang w:eastAsia="zh-CN"/>
        </w:rPr>
      </w:pPr>
      <w:r>
        <w:rPr>
          <w:rFonts w:hint="eastAsia"/>
          <w:sz w:val="28"/>
          <w:highlight w:val="none"/>
          <w:lang w:eastAsia="zh-CN"/>
        </w:rPr>
        <w:t>《</w:t>
      </w:r>
      <w:r>
        <w:rPr>
          <w:rFonts w:hint="eastAsia"/>
          <w:sz w:val="28"/>
          <w:highlight w:val="none"/>
          <w:lang w:val="en-US" w:eastAsia="zh-CN"/>
        </w:rPr>
        <w:t>中华人民共和国草原法</w:t>
      </w:r>
      <w:r>
        <w:rPr>
          <w:rFonts w:hint="eastAsia"/>
          <w:sz w:val="28"/>
          <w:highlight w:val="none"/>
          <w:lang w:eastAsia="zh-CN"/>
        </w:rPr>
        <w:t>》</w:t>
      </w: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2021年修正</w:t>
      </w:r>
      <w:r>
        <w:rPr>
          <w:rFonts w:hint="eastAsia" w:ascii="Times New Roman" w:hAnsi="Times New Roman"/>
          <w:sz w:val="28"/>
          <w:highlight w:val="none"/>
          <w:lang w:eastAsia="zh-CN"/>
        </w:rPr>
        <w:t>）；</w:t>
      </w:r>
    </w:p>
    <w:p>
      <w:pPr>
        <w:pStyle w:val="39"/>
        <w:numPr>
          <w:ilvl w:val="0"/>
          <w:numId w:val="5"/>
        </w:numPr>
        <w:tabs>
          <w:tab w:val="left" w:pos="1079"/>
          <w:tab w:val="left" w:pos="1080"/>
        </w:tabs>
        <w:spacing w:before="215"/>
        <w:ind w:hanging="421"/>
        <w:contextualSpacing w:val="0"/>
        <w:rPr>
          <w:rFonts w:hint="eastAsia"/>
          <w:sz w:val="28"/>
          <w:highlight w:val="none"/>
          <w:lang w:val="en-US" w:eastAsia="zh-CN"/>
        </w:rPr>
      </w:pPr>
      <w:r>
        <w:rPr>
          <w:rFonts w:hint="eastAsia"/>
          <w:sz w:val="28"/>
          <w:highlight w:val="none"/>
          <w:lang w:val="en-US" w:eastAsia="zh-CN"/>
        </w:rPr>
        <w:t>《中华人民共和国土地管理法实施条例》（2021年修订）</w:t>
      </w:r>
    </w:p>
    <w:p>
      <w:pPr>
        <w:pStyle w:val="39"/>
        <w:numPr>
          <w:ilvl w:val="0"/>
          <w:numId w:val="5"/>
        </w:numPr>
        <w:tabs>
          <w:tab w:val="left" w:pos="1079"/>
          <w:tab w:val="left" w:pos="1080"/>
        </w:tabs>
        <w:spacing w:before="215"/>
        <w:ind w:hanging="421"/>
        <w:contextualSpacing w:val="0"/>
        <w:rPr>
          <w:rFonts w:ascii="Times New Roman" w:hAnsi="Times New Roman"/>
          <w:sz w:val="28"/>
          <w:highlight w:val="none"/>
          <w:lang w:eastAsia="zh-CN"/>
        </w:rPr>
      </w:pP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中华人民共和国湿地保护法</w:t>
      </w: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2022年6月1日起实施</w:t>
      </w:r>
      <w:r>
        <w:rPr>
          <w:rFonts w:hint="eastAsia" w:ascii="Times New Roman" w:hAnsi="Times New Roman"/>
          <w:sz w:val="28"/>
          <w:highlight w:val="none"/>
          <w:lang w:eastAsia="zh-CN"/>
        </w:rPr>
        <w:t>）；</w:t>
      </w:r>
    </w:p>
    <w:p>
      <w:pPr>
        <w:pStyle w:val="39"/>
        <w:numPr>
          <w:ilvl w:val="0"/>
          <w:numId w:val="5"/>
        </w:numPr>
        <w:tabs>
          <w:tab w:val="left" w:pos="1079"/>
          <w:tab w:val="left" w:pos="1080"/>
        </w:tabs>
        <w:spacing w:before="215"/>
        <w:ind w:hanging="421"/>
        <w:contextualSpacing w:val="0"/>
        <w:rPr>
          <w:rFonts w:ascii="Times New Roman" w:hAnsi="Times New Roman"/>
          <w:sz w:val="28"/>
          <w:highlight w:val="none"/>
          <w:lang w:eastAsia="zh-CN"/>
        </w:rPr>
      </w:pPr>
      <w:r>
        <w:rPr>
          <w:rFonts w:hint="eastAsia" w:ascii="Times New Roman" w:hAnsi="Times New Roman"/>
          <w:sz w:val="28"/>
          <w:highlight w:val="none"/>
          <w:lang w:eastAsia="zh-CN"/>
        </w:rPr>
        <w:t>《中华人民共和国长江保护法》（</w:t>
      </w:r>
      <w:r>
        <w:rPr>
          <w:rFonts w:hint="eastAsia" w:ascii="Times New Roman" w:hAnsi="Times New Roman"/>
          <w:sz w:val="28"/>
          <w:highlight w:val="none"/>
          <w:lang w:val="en-US" w:eastAsia="zh-CN"/>
        </w:rPr>
        <w:t>2021年3月1日起实施</w:t>
      </w:r>
      <w:r>
        <w:rPr>
          <w:rFonts w:hint="eastAsia" w:ascii="Times New Roman" w:hAnsi="Times New Roman"/>
          <w:sz w:val="28"/>
          <w:highlight w:val="none"/>
          <w:lang w:eastAsia="zh-CN"/>
        </w:rPr>
        <w:t>）；</w:t>
      </w:r>
    </w:p>
    <w:p>
      <w:pPr>
        <w:pStyle w:val="39"/>
        <w:numPr>
          <w:ilvl w:val="0"/>
          <w:numId w:val="5"/>
        </w:numPr>
        <w:tabs>
          <w:tab w:val="left" w:pos="1080"/>
        </w:tabs>
        <w:spacing w:before="213"/>
        <w:ind w:hanging="421"/>
        <w:contextualSpacing w:val="0"/>
        <w:rPr>
          <w:sz w:val="28"/>
          <w:highlight w:val="none"/>
          <w:lang w:eastAsia="zh-CN"/>
        </w:rPr>
      </w:pPr>
      <w:r>
        <w:rPr>
          <w:spacing w:val="0"/>
          <w:sz w:val="28"/>
          <w:highlight w:val="none"/>
          <w:lang w:eastAsia="zh-CN"/>
        </w:rPr>
        <w:t>《中华人民共和国土地管理法实施条例》</w:t>
      </w:r>
      <w:r>
        <w:rPr>
          <w:sz w:val="28"/>
          <w:highlight w:val="none"/>
          <w:lang w:eastAsia="zh-CN"/>
        </w:rPr>
        <w:t>（</w:t>
      </w:r>
      <w:r>
        <w:rPr>
          <w:rFonts w:ascii="Times New Roman" w:eastAsia="Times New Roman"/>
          <w:sz w:val="28"/>
          <w:highlight w:val="none"/>
          <w:lang w:eastAsia="zh-CN"/>
        </w:rPr>
        <w:t>2021</w:t>
      </w:r>
      <w:r>
        <w:rPr>
          <w:spacing w:val="0"/>
          <w:sz w:val="28"/>
          <w:highlight w:val="none"/>
          <w:lang w:eastAsia="zh-CN"/>
        </w:rPr>
        <w:t>年修订</w:t>
      </w:r>
      <w:r>
        <w:rPr>
          <w:sz w:val="28"/>
          <w:highlight w:val="none"/>
          <w:lang w:eastAsia="zh-CN"/>
        </w:rPr>
        <w:t>）；</w:t>
      </w:r>
    </w:p>
    <w:p>
      <w:pPr>
        <w:pStyle w:val="39"/>
        <w:numPr>
          <w:ilvl w:val="0"/>
          <w:numId w:val="5"/>
        </w:numPr>
        <w:tabs>
          <w:tab w:val="left" w:pos="1080"/>
        </w:tabs>
        <w:spacing w:before="212"/>
        <w:ind w:hanging="421"/>
        <w:contextualSpacing w:val="0"/>
        <w:rPr>
          <w:sz w:val="28"/>
          <w:highlight w:val="none"/>
          <w:lang w:eastAsia="zh-CN"/>
        </w:rPr>
      </w:pPr>
      <w:r>
        <w:rPr>
          <w:spacing w:val="0"/>
          <w:sz w:val="28"/>
          <w:highlight w:val="none"/>
          <w:lang w:eastAsia="zh-CN"/>
        </w:rPr>
        <w:t>《基本农田保护条例》（</w:t>
      </w:r>
      <w:r>
        <w:rPr>
          <w:rFonts w:ascii="Times New Roman" w:eastAsia="Times New Roman"/>
          <w:spacing w:val="0"/>
          <w:sz w:val="28"/>
          <w:highlight w:val="none"/>
          <w:lang w:eastAsia="zh-CN"/>
        </w:rPr>
        <w:t>2011</w:t>
      </w:r>
      <w:r>
        <w:rPr>
          <w:spacing w:val="0"/>
          <w:sz w:val="28"/>
          <w:highlight w:val="none"/>
          <w:lang w:eastAsia="zh-CN"/>
        </w:rPr>
        <w:t>修订</w:t>
      </w:r>
      <w:r>
        <w:rPr>
          <w:sz w:val="28"/>
          <w:highlight w:val="none"/>
          <w:lang w:eastAsia="zh-CN"/>
        </w:rPr>
        <w:t>）；</w:t>
      </w:r>
    </w:p>
    <w:p>
      <w:pPr>
        <w:pStyle w:val="39"/>
        <w:numPr>
          <w:ilvl w:val="0"/>
          <w:numId w:val="5"/>
        </w:numPr>
        <w:tabs>
          <w:tab w:val="left" w:pos="1080"/>
        </w:tabs>
        <w:spacing w:before="213"/>
        <w:ind w:hanging="421"/>
        <w:contextualSpacing w:val="0"/>
        <w:rPr>
          <w:sz w:val="28"/>
          <w:highlight w:val="none"/>
          <w:lang w:eastAsia="zh-CN"/>
        </w:rPr>
      </w:pPr>
      <w:r>
        <w:rPr>
          <w:spacing w:val="0"/>
          <w:sz w:val="28"/>
          <w:highlight w:val="none"/>
          <w:lang w:eastAsia="zh-CN"/>
        </w:rPr>
        <w:t>《历史文化名城名镇名村保护条例》</w:t>
      </w:r>
      <w:r>
        <w:rPr>
          <w:sz w:val="28"/>
          <w:highlight w:val="none"/>
          <w:lang w:eastAsia="zh-CN"/>
        </w:rPr>
        <w:t>（</w:t>
      </w:r>
      <w:r>
        <w:rPr>
          <w:rFonts w:ascii="Times New Roman" w:eastAsia="Times New Roman"/>
          <w:sz w:val="28"/>
          <w:highlight w:val="none"/>
          <w:lang w:eastAsia="zh-CN"/>
        </w:rPr>
        <w:t>2017</w:t>
      </w:r>
      <w:r>
        <w:rPr>
          <w:spacing w:val="0"/>
          <w:sz w:val="28"/>
          <w:highlight w:val="none"/>
          <w:lang w:eastAsia="zh-CN"/>
        </w:rPr>
        <w:t>年修正</w:t>
      </w:r>
      <w:r>
        <w:rPr>
          <w:sz w:val="28"/>
          <w:highlight w:val="none"/>
          <w:lang w:eastAsia="zh-CN"/>
        </w:rPr>
        <w:t>）；</w:t>
      </w:r>
    </w:p>
    <w:p>
      <w:pPr>
        <w:pStyle w:val="39"/>
        <w:numPr>
          <w:ilvl w:val="0"/>
          <w:numId w:val="5"/>
        </w:numPr>
        <w:tabs>
          <w:tab w:val="left" w:pos="1080"/>
        </w:tabs>
        <w:spacing w:before="212"/>
        <w:ind w:hanging="421"/>
        <w:contextualSpacing w:val="0"/>
        <w:rPr>
          <w:sz w:val="28"/>
          <w:highlight w:val="none"/>
          <w:lang w:eastAsia="zh-CN"/>
        </w:rPr>
      </w:pPr>
      <w:r>
        <w:rPr>
          <w:spacing w:val="0"/>
          <w:sz w:val="28"/>
          <w:highlight w:val="none"/>
          <w:lang w:eastAsia="zh-CN"/>
        </w:rPr>
        <w:t>《畜禽规模养殖污染防治条例》</w:t>
      </w:r>
      <w:r>
        <w:rPr>
          <w:sz w:val="28"/>
          <w:highlight w:val="none"/>
          <w:lang w:eastAsia="zh-CN"/>
        </w:rPr>
        <w:t>（</w:t>
      </w:r>
      <w:r>
        <w:rPr>
          <w:rFonts w:ascii="Times New Roman" w:eastAsia="Times New Roman"/>
          <w:sz w:val="28"/>
          <w:highlight w:val="none"/>
          <w:lang w:eastAsia="zh-CN"/>
        </w:rPr>
        <w:t>2014</w:t>
      </w:r>
      <w:r>
        <w:rPr>
          <w:spacing w:val="0"/>
          <w:sz w:val="28"/>
          <w:highlight w:val="none"/>
          <w:lang w:eastAsia="zh-CN"/>
        </w:rPr>
        <w:t>年</w:t>
      </w:r>
      <w:r>
        <w:rPr>
          <w:rFonts w:ascii="Times New Roman" w:eastAsia="Times New Roman"/>
          <w:sz w:val="28"/>
          <w:highlight w:val="none"/>
          <w:lang w:eastAsia="zh-CN"/>
        </w:rPr>
        <w:t>1</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80"/>
        </w:tabs>
        <w:spacing w:before="213"/>
        <w:ind w:hanging="421"/>
        <w:contextualSpacing w:val="0"/>
        <w:rPr>
          <w:sz w:val="28"/>
          <w:highlight w:val="none"/>
          <w:lang w:eastAsia="zh-CN"/>
        </w:rPr>
      </w:pPr>
      <w:r>
        <w:rPr>
          <w:spacing w:val="0"/>
          <w:sz w:val="28"/>
          <w:highlight w:val="none"/>
          <w:lang w:eastAsia="zh-CN"/>
        </w:rPr>
        <w:t>《公路安全保护条例》（</w:t>
      </w:r>
      <w:r>
        <w:rPr>
          <w:rFonts w:ascii="Times New Roman" w:eastAsia="Times New Roman"/>
          <w:spacing w:val="0"/>
          <w:sz w:val="28"/>
          <w:highlight w:val="none"/>
          <w:lang w:eastAsia="zh-CN"/>
        </w:rPr>
        <w:t>2011</w:t>
      </w:r>
      <w:r>
        <w:rPr>
          <w:spacing w:val="0"/>
          <w:sz w:val="28"/>
          <w:highlight w:val="none"/>
          <w:lang w:eastAsia="zh-CN"/>
        </w:rPr>
        <w:t>年</w:t>
      </w:r>
      <w:r>
        <w:rPr>
          <w:rFonts w:ascii="Times New Roman" w:eastAsia="Times New Roman"/>
          <w:sz w:val="28"/>
          <w:highlight w:val="none"/>
          <w:lang w:eastAsia="zh-CN"/>
        </w:rPr>
        <w:t>7</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80"/>
        </w:tabs>
        <w:spacing w:before="212"/>
        <w:ind w:hanging="421"/>
        <w:contextualSpacing w:val="0"/>
        <w:rPr>
          <w:sz w:val="28"/>
          <w:highlight w:val="none"/>
          <w:lang w:eastAsia="zh-CN"/>
        </w:rPr>
      </w:pPr>
      <w:r>
        <w:rPr>
          <w:spacing w:val="0"/>
          <w:sz w:val="28"/>
          <w:highlight w:val="none"/>
          <w:lang w:eastAsia="zh-CN"/>
        </w:rPr>
        <w:t>《铁路安全管理条例》</w:t>
      </w:r>
      <w:r>
        <w:rPr>
          <w:sz w:val="28"/>
          <w:highlight w:val="none"/>
          <w:lang w:eastAsia="zh-CN"/>
        </w:rPr>
        <w:t>（</w:t>
      </w:r>
      <w:r>
        <w:rPr>
          <w:rFonts w:ascii="Times New Roman" w:eastAsia="Times New Roman"/>
          <w:sz w:val="28"/>
          <w:highlight w:val="none"/>
          <w:lang w:eastAsia="zh-CN"/>
        </w:rPr>
        <w:t>2014</w:t>
      </w:r>
      <w:r>
        <w:rPr>
          <w:spacing w:val="0"/>
          <w:sz w:val="28"/>
          <w:highlight w:val="none"/>
          <w:lang w:eastAsia="zh-CN"/>
        </w:rPr>
        <w:t>年</w:t>
      </w:r>
      <w:r>
        <w:rPr>
          <w:rFonts w:ascii="Times New Roman" w:eastAsia="Times New Roman"/>
          <w:sz w:val="28"/>
          <w:highlight w:val="none"/>
          <w:lang w:eastAsia="zh-CN"/>
        </w:rPr>
        <w:t>1</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80"/>
        </w:tabs>
        <w:spacing w:before="213"/>
        <w:ind w:hanging="421"/>
        <w:contextualSpacing w:val="0"/>
        <w:rPr>
          <w:sz w:val="28"/>
          <w:highlight w:val="none"/>
          <w:lang w:eastAsia="zh-CN"/>
        </w:rPr>
      </w:pPr>
      <w:r>
        <w:rPr>
          <w:spacing w:val="0"/>
          <w:sz w:val="28"/>
          <w:highlight w:val="none"/>
          <w:lang w:eastAsia="zh-CN"/>
        </w:rPr>
        <w:t>《电力设施保护条例》（</w:t>
      </w:r>
      <w:r>
        <w:rPr>
          <w:rFonts w:ascii="Times New Roman" w:eastAsia="Times New Roman"/>
          <w:spacing w:val="0"/>
          <w:sz w:val="28"/>
          <w:highlight w:val="none"/>
          <w:lang w:eastAsia="zh-CN"/>
        </w:rPr>
        <w:t>2011</w:t>
      </w:r>
      <w:r>
        <w:rPr>
          <w:spacing w:val="0"/>
          <w:sz w:val="28"/>
          <w:highlight w:val="none"/>
          <w:lang w:eastAsia="zh-CN"/>
        </w:rPr>
        <w:t>年</w:t>
      </w:r>
      <w:r>
        <w:rPr>
          <w:rFonts w:ascii="Times New Roman" w:eastAsia="Times New Roman"/>
          <w:sz w:val="28"/>
          <w:highlight w:val="none"/>
          <w:lang w:eastAsia="zh-CN"/>
        </w:rPr>
        <w:t>1</w:t>
      </w:r>
      <w:r>
        <w:rPr>
          <w:spacing w:val="0"/>
          <w:sz w:val="28"/>
          <w:highlight w:val="none"/>
          <w:lang w:eastAsia="zh-CN"/>
        </w:rPr>
        <w:t>月</w:t>
      </w:r>
      <w:r>
        <w:rPr>
          <w:rFonts w:ascii="Times New Roman" w:eastAsia="Times New Roman"/>
          <w:sz w:val="28"/>
          <w:highlight w:val="none"/>
          <w:lang w:eastAsia="zh-CN"/>
        </w:rPr>
        <w:t>8</w:t>
      </w:r>
      <w:r>
        <w:rPr>
          <w:spacing w:val="0"/>
          <w:sz w:val="28"/>
          <w:highlight w:val="none"/>
          <w:lang w:eastAsia="zh-CN"/>
        </w:rPr>
        <w:t>日修订</w:t>
      </w:r>
      <w:r>
        <w:rPr>
          <w:sz w:val="28"/>
          <w:highlight w:val="none"/>
          <w:lang w:eastAsia="zh-CN"/>
        </w:rPr>
        <w:t>）；</w:t>
      </w:r>
    </w:p>
    <w:p>
      <w:pPr>
        <w:pStyle w:val="39"/>
        <w:numPr>
          <w:ilvl w:val="0"/>
          <w:numId w:val="5"/>
        </w:numPr>
        <w:tabs>
          <w:tab w:val="left" w:pos="1080"/>
        </w:tabs>
        <w:spacing w:before="213"/>
        <w:ind w:hanging="421"/>
        <w:contextualSpacing w:val="0"/>
        <w:rPr>
          <w:rFonts w:ascii="Times New Roman" w:hAnsi="Times New Roman"/>
          <w:sz w:val="28"/>
          <w:highlight w:val="none"/>
          <w:lang w:eastAsia="zh-CN"/>
        </w:rPr>
      </w:pPr>
      <w:r>
        <w:rPr>
          <w:rFonts w:hint="default" w:ascii="Times New Roman" w:hAnsi="Times New Roman"/>
          <w:sz w:val="28"/>
          <w:highlight w:val="none"/>
          <w:lang w:eastAsia="zh-CN"/>
        </w:rPr>
        <w:t>《</w:t>
      </w:r>
      <w:r>
        <w:rPr>
          <w:rStyle w:val="21"/>
          <w:rFonts w:hint="default" w:ascii="Times New Roman" w:hAnsi="Times New Roman" w:eastAsia="仿宋" w:cs="仿宋"/>
          <w:i w:val="0"/>
          <w:iCs w:val="0"/>
          <w:caps w:val="0"/>
          <w:color w:val="333333"/>
          <w:spacing w:val="0"/>
          <w:sz w:val="28"/>
          <w:szCs w:val="22"/>
          <w:highlight w:val="none"/>
          <w:shd w:val="clear" w:fill="FFFFFF"/>
          <w:lang w:eastAsia="zh-CN"/>
        </w:rPr>
        <w:t>古树名木保护条例</w:t>
      </w:r>
      <w:r>
        <w:rPr>
          <w:rFonts w:hint="default" w:ascii="Times New Roman" w:hAnsi="Times New Roman"/>
          <w:sz w:val="28"/>
          <w:highlight w:val="none"/>
          <w:lang w:eastAsia="zh-CN"/>
        </w:rPr>
        <w:t>》</w:t>
      </w:r>
      <w:r>
        <w:rPr>
          <w:rFonts w:hint="eastAsia" w:ascii="Times New Roman" w:hAnsi="Times New Roman"/>
          <w:sz w:val="28"/>
          <w:highlight w:val="none"/>
          <w:lang w:eastAsia="zh-CN"/>
        </w:rPr>
        <w:t>（</w:t>
      </w:r>
      <w:r>
        <w:rPr>
          <w:rFonts w:hint="default" w:ascii="Times New Roman" w:hAnsi="Times New Roman"/>
          <w:sz w:val="28"/>
          <w:highlight w:val="none"/>
          <w:lang w:val="en-US" w:eastAsia="zh-CN"/>
        </w:rPr>
        <w:t>2025年</w:t>
      </w:r>
      <w:r>
        <w:rPr>
          <w:rFonts w:hint="eastAsia" w:ascii="Times New Roman" w:hAnsi="Times New Roman"/>
          <w:sz w:val="28"/>
          <w:highlight w:val="none"/>
          <w:lang w:eastAsia="zh-CN"/>
        </w:rPr>
        <w:t>3月15日起施行）；</w:t>
      </w:r>
    </w:p>
    <w:p>
      <w:pPr>
        <w:pStyle w:val="39"/>
        <w:numPr>
          <w:ilvl w:val="0"/>
          <w:numId w:val="5"/>
        </w:numPr>
        <w:tabs>
          <w:tab w:val="left" w:pos="1080"/>
        </w:tabs>
        <w:spacing w:before="213"/>
        <w:ind w:hanging="421"/>
        <w:contextualSpacing w:val="0"/>
        <w:rPr>
          <w:rFonts w:ascii="Times New Roman" w:hAnsi="Times New Roman"/>
          <w:sz w:val="28"/>
          <w:highlight w:val="none"/>
          <w:lang w:eastAsia="zh-CN"/>
        </w:rPr>
      </w:pP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风景名胜区条例</w:t>
      </w: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2016年修订</w:t>
      </w:r>
      <w:r>
        <w:rPr>
          <w:rFonts w:hint="eastAsia" w:ascii="Times New Roman" w:hAnsi="Times New Roman"/>
          <w:sz w:val="28"/>
          <w:highlight w:val="none"/>
          <w:lang w:eastAsia="zh-CN"/>
        </w:rPr>
        <w:t>）；</w:t>
      </w:r>
    </w:p>
    <w:p>
      <w:pPr>
        <w:pStyle w:val="39"/>
        <w:numPr>
          <w:ilvl w:val="0"/>
          <w:numId w:val="5"/>
        </w:numPr>
        <w:tabs>
          <w:tab w:val="left" w:pos="1080"/>
        </w:tabs>
        <w:spacing w:before="213"/>
        <w:ind w:hanging="421"/>
        <w:contextualSpacing w:val="0"/>
        <w:rPr>
          <w:rFonts w:ascii="Times New Roman" w:hAnsi="Times New Roman"/>
          <w:sz w:val="28"/>
          <w:highlight w:val="none"/>
          <w:lang w:eastAsia="zh-CN"/>
        </w:rPr>
      </w:pP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森林防火条例</w:t>
      </w: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2009年1月1日起施行</w:t>
      </w:r>
      <w:r>
        <w:rPr>
          <w:rFonts w:hint="eastAsia" w:ascii="Times New Roman" w:hAnsi="Times New Roman"/>
          <w:sz w:val="28"/>
          <w:highlight w:val="none"/>
          <w:lang w:eastAsia="zh-CN"/>
        </w:rPr>
        <w:t>）；</w:t>
      </w:r>
    </w:p>
    <w:p>
      <w:pPr>
        <w:pStyle w:val="39"/>
        <w:numPr>
          <w:ilvl w:val="0"/>
          <w:numId w:val="5"/>
        </w:numPr>
        <w:tabs>
          <w:tab w:val="left" w:pos="1080"/>
        </w:tabs>
        <w:spacing w:before="213"/>
        <w:ind w:hanging="421"/>
        <w:contextualSpacing w:val="0"/>
        <w:rPr>
          <w:rFonts w:hint="eastAsia" w:ascii="Times New Roman" w:hAnsi="Times New Roman"/>
          <w:sz w:val="28"/>
          <w:highlight w:val="none"/>
          <w:lang w:val="en-US" w:eastAsia="zh-CN"/>
        </w:rPr>
      </w:pPr>
      <w:r>
        <w:rPr>
          <w:rFonts w:hint="eastAsia" w:ascii="Times New Roman" w:hAnsi="Times New Roman"/>
          <w:sz w:val="28"/>
          <w:highlight w:val="none"/>
          <w:lang w:val="en-US" w:eastAsia="zh-CN"/>
        </w:rPr>
        <w:t>《广西壮族自治区生态文明建设促进条例》（2024年6月1日起施行）；</w:t>
      </w:r>
    </w:p>
    <w:p>
      <w:pPr>
        <w:pStyle w:val="39"/>
        <w:numPr>
          <w:ilvl w:val="0"/>
          <w:numId w:val="5"/>
        </w:numPr>
        <w:tabs>
          <w:tab w:val="left" w:pos="1080"/>
        </w:tabs>
        <w:spacing w:before="215"/>
        <w:ind w:hanging="421"/>
        <w:contextualSpacing w:val="0"/>
        <w:rPr>
          <w:sz w:val="28"/>
          <w:highlight w:val="none"/>
          <w:lang w:eastAsia="zh-CN"/>
        </w:rPr>
      </w:pPr>
      <w:r>
        <w:rPr>
          <w:spacing w:val="0"/>
          <w:sz w:val="28"/>
          <w:highlight w:val="none"/>
          <w:lang w:eastAsia="zh-CN"/>
        </w:rPr>
        <w:t>《广西壮族自治区土地管理条例》</w:t>
      </w:r>
      <w:r>
        <w:rPr>
          <w:sz w:val="28"/>
          <w:highlight w:val="none"/>
          <w:lang w:eastAsia="zh-CN"/>
        </w:rPr>
        <w:t>（</w:t>
      </w:r>
      <w:r>
        <w:rPr>
          <w:rFonts w:ascii="Times New Roman" w:eastAsia="Times New Roman"/>
          <w:sz w:val="28"/>
          <w:highlight w:val="none"/>
          <w:lang w:eastAsia="zh-CN"/>
        </w:rPr>
        <w:t>2024</w:t>
      </w:r>
      <w:r>
        <w:rPr>
          <w:spacing w:val="0"/>
          <w:sz w:val="28"/>
          <w:highlight w:val="none"/>
          <w:lang w:eastAsia="zh-CN"/>
        </w:rPr>
        <w:t>年</w:t>
      </w:r>
      <w:r>
        <w:rPr>
          <w:rFonts w:ascii="Times New Roman" w:eastAsia="Times New Roman"/>
          <w:sz w:val="28"/>
          <w:highlight w:val="none"/>
          <w:lang w:eastAsia="zh-CN"/>
        </w:rPr>
        <w:t>1</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pStyle w:val="39"/>
        <w:numPr>
          <w:ilvl w:val="0"/>
          <w:numId w:val="5"/>
        </w:numPr>
        <w:tabs>
          <w:tab w:val="left" w:pos="1080"/>
        </w:tabs>
        <w:spacing w:before="213"/>
        <w:ind w:hanging="421"/>
        <w:contextualSpacing w:val="0"/>
        <w:rPr>
          <w:sz w:val="28"/>
          <w:highlight w:val="none"/>
          <w:lang w:eastAsia="zh-CN"/>
        </w:rPr>
      </w:pPr>
      <w:r>
        <w:rPr>
          <w:spacing w:val="0"/>
          <w:sz w:val="28"/>
          <w:highlight w:val="none"/>
          <w:lang w:eastAsia="zh-CN"/>
        </w:rPr>
        <w:t>《广西壮族自治区乡村规划建设管理条例》</w:t>
      </w:r>
      <w:r>
        <w:rPr>
          <w:sz w:val="28"/>
          <w:highlight w:val="none"/>
          <w:lang w:eastAsia="zh-CN"/>
        </w:rPr>
        <w:t>（</w:t>
      </w:r>
      <w:r>
        <w:rPr>
          <w:rFonts w:ascii="Times New Roman" w:eastAsia="Times New Roman"/>
          <w:sz w:val="28"/>
          <w:highlight w:val="none"/>
          <w:lang w:eastAsia="zh-CN"/>
        </w:rPr>
        <w:t>2019</w:t>
      </w:r>
      <w:r>
        <w:rPr>
          <w:spacing w:val="0"/>
          <w:sz w:val="28"/>
          <w:highlight w:val="none"/>
          <w:lang w:eastAsia="zh-CN"/>
        </w:rPr>
        <w:t>年</w:t>
      </w:r>
      <w:r>
        <w:rPr>
          <w:rFonts w:ascii="Times New Roman" w:eastAsia="Times New Roman"/>
          <w:sz w:val="28"/>
          <w:highlight w:val="none"/>
          <w:lang w:eastAsia="zh-CN"/>
        </w:rPr>
        <w:t>5</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p>
    <w:p>
      <w:pPr>
        <w:pStyle w:val="39"/>
        <w:numPr>
          <w:ilvl w:val="0"/>
          <w:numId w:val="5"/>
        </w:numPr>
        <w:tabs>
          <w:tab w:val="left" w:pos="1080"/>
        </w:tabs>
        <w:spacing w:before="212"/>
        <w:ind w:hanging="421"/>
        <w:contextualSpacing w:val="0"/>
        <w:rPr>
          <w:sz w:val="28"/>
          <w:highlight w:val="none"/>
          <w:lang w:eastAsia="zh-CN"/>
        </w:rPr>
      </w:pPr>
      <w:r>
        <w:rPr>
          <w:spacing w:val="0"/>
          <w:sz w:val="28"/>
          <w:highlight w:val="none"/>
          <w:lang w:eastAsia="zh-CN"/>
        </w:rPr>
        <w:t>《广西壮族自治区环境保护条例》</w:t>
      </w:r>
      <w:r>
        <w:rPr>
          <w:sz w:val="28"/>
          <w:highlight w:val="none"/>
          <w:lang w:eastAsia="zh-CN"/>
        </w:rPr>
        <w:t>（</w:t>
      </w:r>
      <w:r>
        <w:rPr>
          <w:rFonts w:ascii="Times New Roman" w:eastAsia="Times New Roman"/>
          <w:sz w:val="28"/>
          <w:highlight w:val="none"/>
          <w:lang w:eastAsia="zh-CN"/>
        </w:rPr>
        <w:t>2016</w:t>
      </w:r>
      <w:r>
        <w:rPr>
          <w:spacing w:val="0"/>
          <w:sz w:val="28"/>
          <w:highlight w:val="none"/>
          <w:lang w:eastAsia="zh-CN"/>
        </w:rPr>
        <w:t>年修订</w:t>
      </w:r>
      <w:r>
        <w:rPr>
          <w:sz w:val="28"/>
          <w:highlight w:val="none"/>
          <w:lang w:eastAsia="zh-CN"/>
        </w:rPr>
        <w:t>）；</w:t>
      </w:r>
    </w:p>
    <w:p>
      <w:pPr>
        <w:pStyle w:val="39"/>
        <w:numPr>
          <w:ilvl w:val="0"/>
          <w:numId w:val="5"/>
        </w:numPr>
        <w:tabs>
          <w:tab w:val="left" w:pos="1080"/>
        </w:tabs>
        <w:spacing w:before="213"/>
        <w:ind w:hanging="421"/>
        <w:contextualSpacing w:val="0"/>
        <w:rPr>
          <w:sz w:val="28"/>
          <w:highlight w:val="none"/>
          <w:lang w:eastAsia="zh-CN"/>
        </w:rPr>
      </w:pPr>
      <w:r>
        <w:rPr>
          <w:spacing w:val="0"/>
          <w:sz w:val="28"/>
          <w:highlight w:val="none"/>
          <w:lang w:eastAsia="zh-CN"/>
        </w:rPr>
        <w:t>《广西壮族自治区水污染防治条例》</w:t>
      </w:r>
      <w:r>
        <w:rPr>
          <w:sz w:val="28"/>
          <w:highlight w:val="none"/>
          <w:lang w:eastAsia="zh-CN"/>
        </w:rPr>
        <w:t>（</w:t>
      </w:r>
      <w:r>
        <w:rPr>
          <w:rFonts w:ascii="Times New Roman" w:eastAsia="Times New Roman"/>
          <w:sz w:val="28"/>
          <w:highlight w:val="none"/>
          <w:lang w:eastAsia="zh-CN"/>
        </w:rPr>
        <w:t>2020</w:t>
      </w:r>
      <w:r>
        <w:rPr>
          <w:spacing w:val="0"/>
          <w:sz w:val="28"/>
          <w:highlight w:val="none"/>
          <w:lang w:eastAsia="zh-CN"/>
        </w:rPr>
        <w:t>年</w:t>
      </w:r>
      <w:r>
        <w:rPr>
          <w:rFonts w:ascii="Times New Roman" w:eastAsia="Times New Roman"/>
          <w:sz w:val="28"/>
          <w:highlight w:val="none"/>
          <w:lang w:eastAsia="zh-CN"/>
        </w:rPr>
        <w:t>5</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日起实施</w:t>
      </w:r>
      <w:r>
        <w:rPr>
          <w:sz w:val="28"/>
          <w:highlight w:val="none"/>
          <w:lang w:eastAsia="zh-CN"/>
        </w:rPr>
        <w:t>）；</w:t>
      </w:r>
    </w:p>
    <w:p>
      <w:pPr>
        <w:pStyle w:val="39"/>
        <w:numPr>
          <w:ilvl w:val="0"/>
          <w:numId w:val="5"/>
        </w:numPr>
        <w:tabs>
          <w:tab w:val="left" w:pos="1080"/>
        </w:tabs>
        <w:spacing w:before="212"/>
        <w:ind w:hanging="421"/>
        <w:contextualSpacing w:val="0"/>
        <w:rPr>
          <w:sz w:val="28"/>
          <w:highlight w:val="none"/>
          <w:lang w:eastAsia="zh-CN"/>
        </w:rPr>
      </w:pPr>
      <w:r>
        <w:rPr>
          <w:spacing w:val="0"/>
          <w:sz w:val="28"/>
          <w:highlight w:val="none"/>
          <w:lang w:eastAsia="zh-CN"/>
        </w:rPr>
        <w:t>《广西壮族自治区饮用水水源保护条例》</w:t>
      </w:r>
      <w:r>
        <w:rPr>
          <w:sz w:val="28"/>
          <w:highlight w:val="none"/>
          <w:lang w:eastAsia="zh-CN"/>
        </w:rPr>
        <w:t>（</w:t>
      </w:r>
      <w:r>
        <w:rPr>
          <w:rFonts w:ascii="Times New Roman" w:eastAsia="Times New Roman"/>
          <w:sz w:val="28"/>
          <w:highlight w:val="none"/>
          <w:lang w:eastAsia="zh-CN"/>
        </w:rPr>
        <w:t>2017</w:t>
      </w:r>
      <w:r>
        <w:rPr>
          <w:spacing w:val="0"/>
          <w:sz w:val="28"/>
          <w:highlight w:val="none"/>
          <w:lang w:eastAsia="zh-CN"/>
        </w:rPr>
        <w:t>年</w:t>
      </w:r>
      <w:r>
        <w:rPr>
          <w:rFonts w:ascii="Times New Roman" w:eastAsia="Times New Roman"/>
          <w:sz w:val="28"/>
          <w:highlight w:val="none"/>
          <w:lang w:eastAsia="zh-CN"/>
        </w:rPr>
        <w:t>05</w:t>
      </w:r>
      <w:r>
        <w:rPr>
          <w:spacing w:val="0"/>
          <w:sz w:val="28"/>
          <w:highlight w:val="none"/>
          <w:lang w:eastAsia="zh-CN"/>
        </w:rPr>
        <w:t>月</w:t>
      </w:r>
      <w:r>
        <w:rPr>
          <w:rFonts w:ascii="Times New Roman" w:eastAsia="Times New Roman"/>
          <w:sz w:val="28"/>
          <w:highlight w:val="none"/>
          <w:lang w:eastAsia="zh-CN"/>
        </w:rPr>
        <w:t>01</w:t>
      </w:r>
      <w:r>
        <w:rPr>
          <w:spacing w:val="0"/>
          <w:sz w:val="28"/>
          <w:highlight w:val="none"/>
          <w:lang w:eastAsia="zh-CN"/>
        </w:rPr>
        <w:t>日起施行）；</w:t>
      </w:r>
    </w:p>
    <w:p>
      <w:pPr>
        <w:pStyle w:val="39"/>
        <w:numPr>
          <w:ilvl w:val="0"/>
          <w:numId w:val="5"/>
        </w:numPr>
        <w:tabs>
          <w:tab w:val="left" w:pos="1080"/>
        </w:tabs>
        <w:spacing w:before="215"/>
        <w:ind w:hanging="421"/>
        <w:contextualSpacing w:val="0"/>
        <w:rPr>
          <w:rFonts w:ascii="Times New Roman" w:hAnsi="Times New Roman"/>
          <w:sz w:val="28"/>
          <w:highlight w:val="none"/>
          <w:lang w:eastAsia="zh-CN"/>
        </w:rPr>
      </w:pP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广西壮族自治区古树名木保护条例</w:t>
      </w: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2017年6月1日起施行</w:t>
      </w:r>
      <w:r>
        <w:rPr>
          <w:rFonts w:hint="eastAsia" w:ascii="Times New Roman" w:hAnsi="Times New Roman"/>
          <w:sz w:val="28"/>
          <w:highlight w:val="none"/>
          <w:lang w:eastAsia="zh-CN"/>
        </w:rPr>
        <w:t>）；</w:t>
      </w:r>
    </w:p>
    <w:p>
      <w:pPr>
        <w:pStyle w:val="39"/>
        <w:numPr>
          <w:ilvl w:val="0"/>
          <w:numId w:val="5"/>
        </w:numPr>
        <w:tabs>
          <w:tab w:val="left" w:pos="1080"/>
        </w:tabs>
        <w:spacing w:before="215"/>
        <w:ind w:hanging="421"/>
        <w:contextualSpacing w:val="0"/>
        <w:rPr>
          <w:rFonts w:hint="eastAsia" w:ascii="Times New Roman" w:hAnsi="Times New Roman"/>
          <w:sz w:val="28"/>
          <w:highlight w:val="none"/>
          <w:lang w:val="en-US" w:eastAsia="zh-CN"/>
        </w:rPr>
      </w:pPr>
      <w:r>
        <w:rPr>
          <w:rFonts w:hint="eastAsia" w:ascii="Times New Roman" w:hAnsi="Times New Roman"/>
          <w:sz w:val="28"/>
          <w:highlight w:val="none"/>
          <w:lang w:val="en-US" w:eastAsia="zh-CN"/>
        </w:rPr>
        <w:t>《</w:t>
      </w:r>
      <w:r>
        <w:rPr>
          <w:rFonts w:hint="default" w:ascii="Times New Roman" w:hAnsi="Times New Roman"/>
          <w:sz w:val="28"/>
          <w:highlight w:val="none"/>
          <w:lang w:val="en-US" w:eastAsia="zh-CN"/>
        </w:rPr>
        <w:t>广西壮族自治区风景名胜区管理条例</w:t>
      </w:r>
      <w:r>
        <w:rPr>
          <w:rFonts w:hint="eastAsia" w:ascii="Times New Roman" w:hAnsi="Times New Roman"/>
          <w:sz w:val="28"/>
          <w:highlight w:val="none"/>
          <w:lang w:val="en-US" w:eastAsia="zh-CN"/>
        </w:rPr>
        <w:t>》（2016年修正）；</w:t>
      </w:r>
    </w:p>
    <w:p>
      <w:pPr>
        <w:pStyle w:val="39"/>
        <w:numPr>
          <w:ilvl w:val="0"/>
          <w:numId w:val="5"/>
        </w:numPr>
        <w:tabs>
          <w:tab w:val="left" w:pos="1080"/>
        </w:tabs>
        <w:spacing w:before="215"/>
        <w:ind w:hanging="421"/>
        <w:contextualSpacing w:val="0"/>
        <w:rPr>
          <w:rFonts w:hint="eastAsia" w:ascii="Times New Roman" w:hAnsi="Times New Roman"/>
          <w:sz w:val="28"/>
          <w:highlight w:val="none"/>
          <w:lang w:val="en-US" w:eastAsia="zh-CN"/>
        </w:rPr>
      </w:pPr>
      <w:r>
        <w:rPr>
          <w:rFonts w:hint="eastAsia" w:ascii="Times New Roman" w:hAnsi="Times New Roman"/>
          <w:sz w:val="28"/>
          <w:highlight w:val="none"/>
          <w:lang w:val="en-US" w:eastAsia="zh-CN"/>
        </w:rPr>
        <w:t>《广西壮族自治区森林防火条例》（2016年10月1日起施行）；</w:t>
      </w:r>
    </w:p>
    <w:p>
      <w:pPr>
        <w:pStyle w:val="39"/>
        <w:numPr>
          <w:ilvl w:val="0"/>
          <w:numId w:val="5"/>
        </w:numPr>
        <w:tabs>
          <w:tab w:val="left" w:pos="1080"/>
        </w:tabs>
        <w:spacing w:before="212"/>
        <w:ind w:hanging="421"/>
        <w:contextualSpacing w:val="0"/>
        <w:rPr>
          <w:sz w:val="28"/>
          <w:highlight w:val="none"/>
          <w:lang w:eastAsia="zh-CN"/>
        </w:rPr>
      </w:pPr>
      <w:r>
        <w:rPr>
          <w:spacing w:val="0"/>
          <w:sz w:val="28"/>
          <w:highlight w:val="none"/>
          <w:lang w:eastAsia="zh-CN"/>
        </w:rPr>
        <w:t>《柳州市柳江流域生态环境保护条例》</w:t>
      </w:r>
      <w:r>
        <w:rPr>
          <w:sz w:val="28"/>
          <w:highlight w:val="none"/>
          <w:lang w:eastAsia="zh-CN"/>
        </w:rPr>
        <w:t>（</w:t>
      </w:r>
      <w:r>
        <w:rPr>
          <w:rFonts w:ascii="Times New Roman" w:eastAsia="Times New Roman"/>
          <w:sz w:val="28"/>
          <w:highlight w:val="none"/>
          <w:lang w:eastAsia="zh-CN"/>
        </w:rPr>
        <w:t>2021</w:t>
      </w:r>
      <w:r>
        <w:rPr>
          <w:spacing w:val="0"/>
          <w:sz w:val="28"/>
          <w:highlight w:val="none"/>
          <w:lang w:eastAsia="zh-CN"/>
        </w:rPr>
        <w:t>年</w:t>
      </w:r>
      <w:r>
        <w:rPr>
          <w:rFonts w:ascii="Times New Roman" w:eastAsia="Times New Roman"/>
          <w:sz w:val="28"/>
          <w:highlight w:val="none"/>
          <w:lang w:eastAsia="zh-CN"/>
        </w:rPr>
        <w:t>10</w:t>
      </w:r>
      <w:r>
        <w:rPr>
          <w:spacing w:val="0"/>
          <w:sz w:val="28"/>
          <w:highlight w:val="none"/>
          <w:lang w:eastAsia="zh-CN"/>
        </w:rPr>
        <w:t>月</w:t>
      </w:r>
      <w:r>
        <w:rPr>
          <w:rFonts w:ascii="Times New Roman" w:eastAsia="Times New Roman"/>
          <w:sz w:val="28"/>
          <w:highlight w:val="none"/>
          <w:lang w:eastAsia="zh-CN"/>
        </w:rPr>
        <w:t>1</w:t>
      </w:r>
      <w:r>
        <w:rPr>
          <w:spacing w:val="0"/>
          <w:sz w:val="28"/>
          <w:highlight w:val="none"/>
          <w:lang w:eastAsia="zh-CN"/>
        </w:rPr>
        <w:t>日起施行</w:t>
      </w:r>
      <w:r>
        <w:rPr>
          <w:sz w:val="28"/>
          <w:highlight w:val="none"/>
          <w:lang w:eastAsia="zh-CN"/>
        </w:rPr>
        <w:t>）。</w:t>
      </w:r>
    </w:p>
    <w:p>
      <w:pPr>
        <w:rPr>
          <w:sz w:val="28"/>
          <w:highlight w:val="none"/>
          <w:lang w:eastAsia="zh-CN"/>
        </w:rPr>
        <w:sectPr>
          <w:pgSz w:w="11910" w:h="16840"/>
          <w:pgMar w:top="1580" w:right="680" w:bottom="880" w:left="980" w:header="850" w:footer="992" w:gutter="0"/>
          <w:cols w:space="720" w:num="1"/>
        </w:sectPr>
      </w:pPr>
    </w:p>
    <w:p>
      <w:pPr>
        <w:pStyle w:val="6"/>
        <w:keepNext w:val="0"/>
        <w:keepLines w:val="0"/>
        <w:spacing w:before="136" w:after="0"/>
        <w:ind w:left="662"/>
        <w:rPr>
          <w:rFonts w:ascii="微软雅黑" w:hAnsi="微软雅黑" w:eastAsia="微软雅黑" w:cs="微软雅黑"/>
          <w:b/>
          <w:bCs/>
          <w:color w:val="auto"/>
          <w:sz w:val="28"/>
          <w:szCs w:val="28"/>
          <w:highlight w:val="none"/>
        </w:rPr>
      </w:pPr>
      <w:r>
        <w:rPr>
          <w:rFonts w:ascii="微软雅黑" w:hAnsi="微软雅黑" w:eastAsia="微软雅黑" w:cs="微软雅黑"/>
          <w:b/>
          <w:bCs/>
          <w:color w:val="auto"/>
          <w:sz w:val="28"/>
          <w:szCs w:val="28"/>
          <w:highlight w:val="none"/>
        </w:rPr>
        <w:t>（二）政策文件</w:t>
      </w:r>
    </w:p>
    <w:p>
      <w:pPr>
        <w:pStyle w:val="39"/>
        <w:numPr>
          <w:ilvl w:val="0"/>
          <w:numId w:val="6"/>
        </w:numPr>
        <w:tabs>
          <w:tab w:val="left" w:pos="1079"/>
          <w:tab w:val="left" w:pos="1080"/>
        </w:tabs>
        <w:spacing w:before="0" w:line="381" w:lineRule="auto"/>
        <w:ind w:right="398" w:hanging="420"/>
        <w:contextualSpacing w:val="0"/>
        <w:rPr>
          <w:rFonts w:ascii="Times New Roman" w:hAnsi="Times New Roman" w:eastAsia="仿宋"/>
          <w:spacing w:val="-14"/>
          <w:sz w:val="28"/>
          <w:highlight w:val="none"/>
          <w:lang w:eastAsia="zh-CN"/>
        </w:rPr>
      </w:pPr>
      <w:r>
        <w:rPr>
          <w:rFonts w:hint="eastAsia" w:ascii="Times New Roman" w:hAnsi="Times New Roman" w:eastAsia="仿宋"/>
          <w:spacing w:val="-14"/>
          <w:sz w:val="28"/>
          <w:highlight w:val="none"/>
          <w:lang w:eastAsia="zh-CN"/>
        </w:rPr>
        <w:t>中央农村工作领导小组办公室、农业农村部印发《关于进一步加强农村宅基地管理的通知》（中农发〔2019〕11号）；</w:t>
      </w:r>
    </w:p>
    <w:p>
      <w:pPr>
        <w:pStyle w:val="39"/>
        <w:numPr>
          <w:ilvl w:val="0"/>
          <w:numId w:val="6"/>
        </w:numPr>
        <w:tabs>
          <w:tab w:val="left" w:pos="1079"/>
          <w:tab w:val="left" w:pos="1080"/>
        </w:tabs>
        <w:spacing w:before="0" w:line="381" w:lineRule="auto"/>
        <w:ind w:right="398" w:hanging="420"/>
        <w:contextualSpacing w:val="0"/>
        <w:rPr>
          <w:rFonts w:ascii="Times New Roman" w:hAnsi="Times New Roman" w:eastAsia="仿宋"/>
          <w:spacing w:val="-14"/>
          <w:sz w:val="28"/>
          <w:highlight w:val="none"/>
          <w:lang w:eastAsia="zh-CN"/>
        </w:rPr>
      </w:pPr>
      <w:r>
        <w:rPr>
          <w:rFonts w:hint="eastAsia" w:ascii="Times New Roman" w:hAnsi="Times New Roman" w:eastAsia="仿宋"/>
          <w:spacing w:val="-14"/>
          <w:sz w:val="28"/>
          <w:highlight w:val="none"/>
          <w:lang w:eastAsia="zh-CN"/>
        </w:rPr>
        <w:t>农业农村部、自然资源部印发《关于规范农村宅基地审批管理的通知》（农经发〔2019〕6号）</w:t>
      </w:r>
      <w:r>
        <w:rPr>
          <w:rFonts w:hint="eastAsia" w:ascii="Times New Roman" w:hAnsi="Times New Roman"/>
          <w:spacing w:val="-14"/>
          <w:sz w:val="28"/>
          <w:highlight w:val="none"/>
          <w:lang w:eastAsia="zh-CN"/>
        </w:rPr>
        <w:t>；</w:t>
      </w:r>
    </w:p>
    <w:p>
      <w:pPr>
        <w:pStyle w:val="39"/>
        <w:numPr>
          <w:ilvl w:val="0"/>
          <w:numId w:val="6"/>
        </w:numPr>
        <w:tabs>
          <w:tab w:val="left" w:pos="1079"/>
          <w:tab w:val="left" w:pos="1080"/>
        </w:tabs>
        <w:spacing w:before="0" w:line="382" w:lineRule="auto"/>
        <w:ind w:left="1077" w:right="397" w:hanging="420"/>
        <w:contextualSpacing w:val="0"/>
        <w:rPr>
          <w:rFonts w:ascii="Times New Roman" w:hAnsi="Times New Roman" w:eastAsia="仿宋"/>
          <w:spacing w:val="-14"/>
          <w:sz w:val="28"/>
          <w:highlight w:val="none"/>
          <w:lang w:eastAsia="zh-CN"/>
        </w:rPr>
      </w:pPr>
      <w:r>
        <w:rPr>
          <w:rFonts w:hint="eastAsia" w:ascii="Times New Roman" w:hAnsi="Times New Roman" w:eastAsia="仿宋"/>
          <w:spacing w:val="-14"/>
          <w:sz w:val="28"/>
          <w:highlight w:val="none"/>
          <w:lang w:eastAsia="zh-CN"/>
        </w:rPr>
        <w:t>《中共中央国务院</w:t>
      </w:r>
      <w:r>
        <w:rPr>
          <w:rFonts w:ascii="Times New Roman" w:hAnsi="Times New Roman" w:eastAsia="仿宋"/>
          <w:spacing w:val="-14"/>
          <w:sz w:val="28"/>
          <w:highlight w:val="none"/>
          <w:lang w:eastAsia="zh-CN"/>
        </w:rPr>
        <w:t>关于建立国土空间规划体系并监督实施的若干意见》（中发〔2019〕18号）；</w:t>
      </w:r>
    </w:p>
    <w:p>
      <w:pPr>
        <w:pStyle w:val="39"/>
        <w:numPr>
          <w:ilvl w:val="0"/>
          <w:numId w:val="6"/>
        </w:numPr>
        <w:tabs>
          <w:tab w:val="left" w:pos="1079"/>
          <w:tab w:val="left" w:pos="1080"/>
        </w:tabs>
        <w:autoSpaceDE/>
        <w:autoSpaceDN/>
        <w:spacing w:before="0" w:line="382" w:lineRule="auto"/>
        <w:ind w:left="1077" w:right="397" w:hanging="420"/>
        <w:contextualSpacing w:val="0"/>
        <w:rPr>
          <w:rFonts w:ascii="Times New Roman" w:hAnsi="Times New Roman" w:eastAsia="仿宋"/>
          <w:sz w:val="28"/>
          <w:highlight w:val="none"/>
          <w:lang w:eastAsia="zh-CN"/>
        </w:rPr>
      </w:pPr>
      <w:r>
        <w:rPr>
          <w:rFonts w:hint="eastAsia" w:ascii="Times New Roman" w:hAnsi="Times New Roman" w:eastAsia="仿宋"/>
          <w:spacing w:val="-14"/>
          <w:sz w:val="28"/>
          <w:highlight w:val="none"/>
          <w:lang w:eastAsia="zh-CN"/>
        </w:rPr>
        <w:t>《中共中央国务院</w:t>
      </w:r>
      <w:r>
        <w:rPr>
          <w:rFonts w:ascii="Times New Roman" w:hAnsi="Times New Roman" w:eastAsia="仿宋"/>
          <w:spacing w:val="-14"/>
          <w:sz w:val="28"/>
          <w:highlight w:val="none"/>
          <w:lang w:eastAsia="zh-CN"/>
        </w:rPr>
        <w:t>关于学习运用“千村示范、万村整治”工程经验有力有</w:t>
      </w:r>
      <w:r>
        <w:rPr>
          <w:rFonts w:ascii="Times New Roman" w:hAnsi="Times New Roman" w:eastAsia="仿宋"/>
          <w:spacing w:val="-3"/>
          <w:sz w:val="28"/>
          <w:highlight w:val="none"/>
          <w:lang w:eastAsia="zh-CN"/>
        </w:rPr>
        <w:t>效推进乡村全面振兴的意见》</w:t>
      </w:r>
      <w:r>
        <w:rPr>
          <w:rFonts w:ascii="Times New Roman" w:hAnsi="Times New Roman" w:eastAsia="仿宋"/>
          <w:sz w:val="28"/>
          <w:highlight w:val="none"/>
          <w:lang w:eastAsia="zh-CN"/>
        </w:rPr>
        <w:t>（2024</w:t>
      </w:r>
      <w:r>
        <w:rPr>
          <w:rFonts w:ascii="Times New Roman" w:hAnsi="Times New Roman" w:eastAsia="仿宋"/>
          <w:spacing w:val="-2"/>
          <w:sz w:val="28"/>
          <w:highlight w:val="none"/>
          <w:lang w:eastAsia="zh-CN"/>
        </w:rPr>
        <w:t>年中央一号文件</w:t>
      </w:r>
      <w:r>
        <w:rPr>
          <w:rFonts w:ascii="Times New Roman" w:hAnsi="Times New Roman" w:eastAsia="仿宋"/>
          <w:sz w:val="28"/>
          <w:highlight w:val="none"/>
          <w:lang w:eastAsia="zh-CN"/>
        </w:rPr>
        <w:t>）；</w:t>
      </w:r>
    </w:p>
    <w:p>
      <w:pPr>
        <w:pStyle w:val="39"/>
        <w:numPr>
          <w:ilvl w:val="0"/>
          <w:numId w:val="6"/>
        </w:numPr>
        <w:tabs>
          <w:tab w:val="left" w:pos="1079"/>
          <w:tab w:val="left" w:pos="1080"/>
        </w:tabs>
        <w:spacing w:before="4" w:line="381" w:lineRule="auto"/>
        <w:ind w:right="256"/>
        <w:contextualSpacing w:val="0"/>
        <w:rPr>
          <w:rFonts w:ascii="Times New Roman" w:hAnsi="Times New Roman" w:eastAsia="仿宋"/>
          <w:sz w:val="28"/>
          <w:highlight w:val="none"/>
          <w:lang w:eastAsia="zh-CN"/>
        </w:rPr>
      </w:pPr>
      <w:r>
        <w:rPr>
          <w:rFonts w:ascii="Times New Roman" w:hAnsi="Times New Roman" w:eastAsia="仿宋"/>
          <w:sz w:val="28"/>
          <w:highlight w:val="none"/>
          <w:lang w:eastAsia="zh-CN"/>
        </w:rPr>
        <w:t>《自然资源部中央农村工作领导小组办公室关于学习运用“千万工程”</w:t>
      </w:r>
      <w:r>
        <w:rPr>
          <w:rFonts w:ascii="Times New Roman" w:hAnsi="Times New Roman" w:eastAsia="仿宋"/>
          <w:spacing w:val="-3"/>
          <w:sz w:val="28"/>
          <w:highlight w:val="none"/>
          <w:lang w:eastAsia="zh-CN"/>
        </w:rPr>
        <w:t>经验提高村庄规划编制质量和实效的通知》（</w:t>
      </w:r>
      <w:r>
        <w:rPr>
          <w:rFonts w:ascii="Times New Roman" w:hAnsi="Times New Roman" w:eastAsia="仿宋"/>
          <w:spacing w:val="-2"/>
          <w:sz w:val="28"/>
          <w:highlight w:val="none"/>
          <w:lang w:eastAsia="zh-CN"/>
        </w:rPr>
        <w:t>自然资发〔</w:t>
      </w:r>
      <w:r>
        <w:rPr>
          <w:rFonts w:ascii="Times New Roman" w:hAnsi="Times New Roman" w:eastAsia="仿宋"/>
          <w:sz w:val="28"/>
          <w:highlight w:val="none"/>
          <w:lang w:eastAsia="zh-CN"/>
        </w:rPr>
        <w:t>2024</w:t>
      </w:r>
      <w:r>
        <w:rPr>
          <w:rFonts w:ascii="Times New Roman" w:hAnsi="Times New Roman" w:eastAsia="仿宋"/>
          <w:spacing w:val="-3"/>
          <w:sz w:val="28"/>
          <w:highlight w:val="none"/>
          <w:lang w:eastAsia="zh-CN"/>
        </w:rPr>
        <w:t>〕</w:t>
      </w:r>
      <w:r>
        <w:rPr>
          <w:rFonts w:ascii="Times New Roman" w:hAnsi="Times New Roman" w:eastAsia="仿宋"/>
          <w:sz w:val="28"/>
          <w:highlight w:val="none"/>
          <w:lang w:eastAsia="zh-CN"/>
        </w:rPr>
        <w:t>1</w:t>
      </w:r>
      <w:r>
        <w:rPr>
          <w:rFonts w:ascii="Times New Roman" w:hAnsi="Times New Roman" w:eastAsia="仿宋"/>
          <w:spacing w:val="-3"/>
          <w:sz w:val="28"/>
          <w:highlight w:val="none"/>
          <w:lang w:eastAsia="zh-CN"/>
        </w:rPr>
        <w:t>号</w:t>
      </w:r>
      <w:r>
        <w:rPr>
          <w:rFonts w:ascii="Times New Roman" w:hAnsi="Times New Roman" w:eastAsia="仿宋"/>
          <w:sz w:val="28"/>
          <w:highlight w:val="none"/>
          <w:lang w:eastAsia="zh-CN"/>
        </w:rPr>
        <w:t>）；</w:t>
      </w:r>
    </w:p>
    <w:p>
      <w:pPr>
        <w:pStyle w:val="39"/>
        <w:numPr>
          <w:ilvl w:val="0"/>
          <w:numId w:val="6"/>
        </w:numPr>
        <w:tabs>
          <w:tab w:val="left" w:pos="1079"/>
          <w:tab w:val="left" w:pos="1080"/>
        </w:tabs>
        <w:spacing w:before="2" w:line="381" w:lineRule="auto"/>
        <w:ind w:right="397"/>
        <w:contextualSpacing w:val="0"/>
        <w:rPr>
          <w:rFonts w:ascii="Times New Roman" w:hAnsi="Times New Roman" w:eastAsia="仿宋"/>
          <w:sz w:val="28"/>
          <w:highlight w:val="none"/>
          <w:lang w:eastAsia="zh-CN"/>
        </w:rPr>
      </w:pPr>
      <w:r>
        <w:rPr>
          <w:rFonts w:ascii="Times New Roman" w:hAnsi="Times New Roman" w:eastAsia="仿宋"/>
          <w:sz w:val="28"/>
          <w:highlight w:val="none"/>
          <w:lang w:eastAsia="zh-CN"/>
        </w:rPr>
        <w:t>《自然资源部办公厅关于加强村庄规划促进乡村振兴的通知》（自然资</w:t>
      </w:r>
      <w:r>
        <w:rPr>
          <w:rFonts w:ascii="Times New Roman" w:hAnsi="Times New Roman" w:eastAsia="仿宋"/>
          <w:spacing w:val="-1"/>
          <w:sz w:val="28"/>
          <w:highlight w:val="none"/>
          <w:lang w:eastAsia="zh-CN"/>
        </w:rPr>
        <w:t>办发〔</w:t>
      </w:r>
      <w:r>
        <w:rPr>
          <w:rFonts w:ascii="Times New Roman" w:hAnsi="Times New Roman" w:eastAsia="仿宋"/>
          <w:sz w:val="28"/>
          <w:highlight w:val="none"/>
          <w:lang w:eastAsia="zh-CN"/>
        </w:rPr>
        <w:t>2019</w:t>
      </w:r>
      <w:r>
        <w:rPr>
          <w:rFonts w:ascii="Times New Roman" w:hAnsi="Times New Roman" w:eastAsia="仿宋"/>
          <w:spacing w:val="-3"/>
          <w:sz w:val="28"/>
          <w:highlight w:val="none"/>
          <w:lang w:eastAsia="zh-CN"/>
        </w:rPr>
        <w:t>〕</w:t>
      </w:r>
      <w:r>
        <w:rPr>
          <w:rFonts w:ascii="Times New Roman" w:hAnsi="Times New Roman" w:eastAsia="仿宋"/>
          <w:sz w:val="28"/>
          <w:highlight w:val="none"/>
          <w:lang w:eastAsia="zh-CN"/>
        </w:rPr>
        <w:t>35</w:t>
      </w:r>
      <w:r>
        <w:rPr>
          <w:rFonts w:ascii="Times New Roman" w:hAnsi="Times New Roman" w:eastAsia="仿宋"/>
          <w:spacing w:val="-3"/>
          <w:sz w:val="28"/>
          <w:highlight w:val="none"/>
          <w:lang w:eastAsia="zh-CN"/>
        </w:rPr>
        <w:t>号</w:t>
      </w:r>
      <w:r>
        <w:rPr>
          <w:rFonts w:ascii="Times New Roman" w:hAnsi="Times New Roman" w:eastAsia="仿宋"/>
          <w:sz w:val="28"/>
          <w:highlight w:val="none"/>
          <w:lang w:eastAsia="zh-CN"/>
        </w:rPr>
        <w:t>）；</w:t>
      </w:r>
    </w:p>
    <w:p>
      <w:pPr>
        <w:pStyle w:val="39"/>
        <w:numPr>
          <w:ilvl w:val="0"/>
          <w:numId w:val="6"/>
        </w:numPr>
        <w:tabs>
          <w:tab w:val="left" w:pos="1079"/>
          <w:tab w:val="left" w:pos="1080"/>
        </w:tabs>
        <w:spacing w:before="2" w:line="381" w:lineRule="auto"/>
        <w:ind w:right="397"/>
        <w:contextualSpacing w:val="0"/>
        <w:rPr>
          <w:rFonts w:ascii="Times New Roman" w:hAnsi="Times New Roman" w:eastAsia="仿宋"/>
          <w:sz w:val="28"/>
          <w:highlight w:val="none"/>
          <w:lang w:eastAsia="zh-CN"/>
        </w:rPr>
      </w:pPr>
      <w:r>
        <w:rPr>
          <w:rFonts w:ascii="Times New Roman" w:hAnsi="Times New Roman" w:eastAsia="仿宋"/>
          <w:spacing w:val="4"/>
          <w:sz w:val="28"/>
          <w:highlight w:val="none"/>
          <w:lang w:eastAsia="zh-CN"/>
        </w:rPr>
        <w:t>《自然资源部</w:t>
      </w:r>
      <w:r>
        <w:rPr>
          <w:rFonts w:hint="eastAsia" w:ascii="Times New Roman" w:hAnsi="Times New Roman"/>
          <w:spacing w:val="4"/>
          <w:sz w:val="28"/>
          <w:highlight w:val="none"/>
          <w:lang w:val="en-US" w:eastAsia="zh-CN"/>
        </w:rPr>
        <w:t xml:space="preserve"> </w:t>
      </w:r>
      <w:r>
        <w:rPr>
          <w:rFonts w:ascii="Times New Roman" w:hAnsi="Times New Roman" w:eastAsia="仿宋"/>
          <w:spacing w:val="4"/>
          <w:sz w:val="28"/>
          <w:highlight w:val="none"/>
          <w:lang w:eastAsia="zh-CN"/>
        </w:rPr>
        <w:t>农业农村部关于加强和改进永久基本农田保护工作的通</w:t>
      </w:r>
      <w:r>
        <w:rPr>
          <w:rFonts w:ascii="Times New Roman" w:hAnsi="Times New Roman" w:eastAsia="仿宋"/>
          <w:sz w:val="28"/>
          <w:highlight w:val="none"/>
          <w:lang w:eastAsia="zh-CN"/>
        </w:rPr>
        <w:t>知》（</w:t>
      </w:r>
      <w:r>
        <w:rPr>
          <w:rFonts w:ascii="Times New Roman" w:hAnsi="Times New Roman" w:eastAsia="仿宋"/>
          <w:spacing w:val="-3"/>
          <w:sz w:val="28"/>
          <w:highlight w:val="none"/>
          <w:lang w:eastAsia="zh-CN"/>
        </w:rPr>
        <w:t>自然资规〔</w:t>
      </w:r>
      <w:r>
        <w:rPr>
          <w:rFonts w:ascii="Times New Roman" w:hAnsi="Times New Roman" w:eastAsia="仿宋"/>
          <w:sz w:val="28"/>
          <w:highlight w:val="none"/>
          <w:lang w:eastAsia="zh-CN"/>
        </w:rPr>
        <w:t>2019</w:t>
      </w:r>
      <w:r>
        <w:rPr>
          <w:rFonts w:ascii="Times New Roman" w:hAnsi="Times New Roman" w:eastAsia="仿宋"/>
          <w:spacing w:val="-3"/>
          <w:sz w:val="28"/>
          <w:highlight w:val="none"/>
          <w:lang w:eastAsia="zh-CN"/>
        </w:rPr>
        <w:t>〕</w:t>
      </w:r>
      <w:r>
        <w:rPr>
          <w:rFonts w:ascii="Times New Roman" w:hAnsi="Times New Roman" w:eastAsia="仿宋"/>
          <w:sz w:val="28"/>
          <w:highlight w:val="none"/>
          <w:lang w:eastAsia="zh-CN"/>
        </w:rPr>
        <w:t>1号）</w:t>
      </w:r>
    </w:p>
    <w:p>
      <w:pPr>
        <w:pStyle w:val="39"/>
        <w:numPr>
          <w:ilvl w:val="0"/>
          <w:numId w:val="6"/>
        </w:numPr>
        <w:tabs>
          <w:tab w:val="left" w:pos="1079"/>
          <w:tab w:val="left" w:pos="1080"/>
        </w:tabs>
        <w:spacing w:before="2" w:line="381" w:lineRule="auto"/>
        <w:ind w:right="397"/>
        <w:contextualSpacing w:val="0"/>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《自然资源部办公厅关于进一步做好村庄规划工作的意见》（自然资办发〔2020〕57号）</w:t>
      </w:r>
    </w:p>
    <w:p>
      <w:pPr>
        <w:pStyle w:val="39"/>
        <w:numPr>
          <w:ilvl w:val="0"/>
          <w:numId w:val="6"/>
        </w:numPr>
        <w:tabs>
          <w:tab w:val="left" w:pos="1079"/>
          <w:tab w:val="left" w:pos="1080"/>
        </w:tabs>
        <w:spacing w:before="2" w:line="381" w:lineRule="auto"/>
        <w:ind w:right="397"/>
        <w:contextualSpacing w:val="0"/>
        <w:rPr>
          <w:rFonts w:ascii="Times New Roman" w:hAnsi="Times New Roman" w:eastAsia="仿宋"/>
          <w:sz w:val="28"/>
          <w:highlight w:val="none"/>
          <w:lang w:eastAsia="zh-CN"/>
        </w:rPr>
      </w:pPr>
      <w:r>
        <w:rPr>
          <w:rFonts w:hint="eastAsia" w:ascii="Times New Roman" w:hAnsi="Times New Roman"/>
          <w:sz w:val="28"/>
          <w:highlight w:val="none"/>
          <w:lang w:eastAsia="zh-CN"/>
        </w:rPr>
        <w:t>《自然资源部 农业农村部关于保障农村村民住宅建设合理用地的通知》（自然资发〔2020〕128号）；</w:t>
      </w:r>
    </w:p>
    <w:p>
      <w:pPr>
        <w:pStyle w:val="39"/>
        <w:numPr>
          <w:ilvl w:val="0"/>
          <w:numId w:val="6"/>
        </w:numPr>
        <w:tabs>
          <w:tab w:val="left" w:pos="1079"/>
          <w:tab w:val="left" w:pos="1080"/>
        </w:tabs>
        <w:spacing w:before="2" w:line="381" w:lineRule="auto"/>
        <w:ind w:right="397"/>
        <w:contextualSpacing w:val="0"/>
        <w:rPr>
          <w:rFonts w:hint="eastAsia" w:ascii="Times New Roman" w:hAnsi="Times New Roman"/>
          <w:sz w:val="28"/>
          <w:highlight w:val="none"/>
          <w:lang w:eastAsia="zh-CN"/>
        </w:rPr>
      </w:pPr>
      <w:r>
        <w:rPr>
          <w:rFonts w:hint="eastAsia" w:ascii="Times New Roman" w:hAnsi="Times New Roman"/>
          <w:sz w:val="28"/>
          <w:highlight w:val="none"/>
          <w:lang w:val="en-US" w:eastAsia="zh-CN"/>
        </w:rPr>
        <w:t>自然资源部 农业农村部关于农村乱占耕地建房“八不准”的通知（自然资发〔2020〕127号）；</w:t>
      </w:r>
    </w:p>
    <w:p>
      <w:pPr>
        <w:pStyle w:val="39"/>
        <w:numPr>
          <w:ilvl w:val="0"/>
          <w:numId w:val="6"/>
        </w:numPr>
        <w:tabs>
          <w:tab w:val="left" w:pos="1079"/>
          <w:tab w:val="left" w:pos="1080"/>
        </w:tabs>
        <w:spacing w:before="2" w:line="381" w:lineRule="auto"/>
        <w:ind w:right="397"/>
        <w:contextualSpacing w:val="0"/>
        <w:rPr>
          <w:rFonts w:hint="eastAsia" w:ascii="Times New Roman" w:hAnsi="Times New Roman"/>
          <w:sz w:val="28"/>
          <w:highlight w:val="none"/>
          <w:lang w:val="en-US" w:eastAsia="zh-CN"/>
        </w:rPr>
      </w:pPr>
      <w:r>
        <w:rPr>
          <w:rFonts w:hint="eastAsia" w:ascii="Times New Roman" w:hAnsi="Times New Roman"/>
          <w:sz w:val="28"/>
          <w:highlight w:val="none"/>
          <w:lang w:val="en-US" w:eastAsia="zh-CN"/>
        </w:rPr>
        <w:t>自然资源部 农业农村部 国家林业和草原局《关于严格耕地用途管制有关问题的通知》（自然资发</w:t>
      </w:r>
      <w:r>
        <w:rPr>
          <w:rFonts w:hint="default" w:ascii="Times New Roman" w:hAnsi="Times New Roman" w:eastAsia="仿宋"/>
          <w:sz w:val="28"/>
          <w:highlight w:val="none"/>
          <w:lang w:eastAsia="zh-CN"/>
        </w:rPr>
        <w:t>〔</w:t>
      </w:r>
      <w:r>
        <w:rPr>
          <w:rFonts w:hint="eastAsia" w:ascii="Times New Roman" w:hAnsi="Times New Roman"/>
          <w:sz w:val="28"/>
          <w:highlight w:val="none"/>
          <w:lang w:val="en-US" w:eastAsia="zh-CN"/>
        </w:rPr>
        <w:t>2021</w:t>
      </w:r>
      <w:r>
        <w:rPr>
          <w:rFonts w:hint="default" w:ascii="Times New Roman" w:hAnsi="Times New Roman" w:eastAsia="仿宋"/>
          <w:sz w:val="28"/>
          <w:highlight w:val="none"/>
          <w:lang w:eastAsia="zh-CN"/>
        </w:rPr>
        <w:t>〕</w:t>
      </w:r>
      <w:r>
        <w:rPr>
          <w:rFonts w:hint="eastAsia" w:ascii="Times New Roman" w:hAnsi="Times New Roman"/>
          <w:sz w:val="28"/>
          <w:highlight w:val="none"/>
          <w:lang w:val="en-US" w:eastAsia="zh-CN"/>
        </w:rPr>
        <w:t>166号）；</w:t>
      </w:r>
    </w:p>
    <w:p>
      <w:pPr>
        <w:pStyle w:val="39"/>
        <w:numPr>
          <w:ilvl w:val="0"/>
          <w:numId w:val="6"/>
        </w:numPr>
        <w:tabs>
          <w:tab w:val="left" w:pos="1079"/>
          <w:tab w:val="left" w:pos="1080"/>
        </w:tabs>
        <w:spacing w:before="2" w:line="381" w:lineRule="auto"/>
        <w:ind w:right="397"/>
        <w:contextualSpacing w:val="0"/>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自然资源部、国家发展改革委、农业农村部联合印发《关于保障和规范农村一二三产业融合发展用地的通知》</w:t>
      </w:r>
      <w:r>
        <w:rPr>
          <w:rFonts w:hint="eastAsia" w:ascii="Times New Roman" w:hAnsi="Times New Roman"/>
          <w:sz w:val="28"/>
          <w:highlight w:val="none"/>
          <w:lang w:eastAsia="zh-CN"/>
        </w:rPr>
        <w:t>（</w:t>
      </w:r>
      <w:r>
        <w:rPr>
          <w:rFonts w:hint="eastAsia" w:ascii="Times New Roman" w:hAnsi="Times New Roman"/>
          <w:sz w:val="28"/>
          <w:highlight w:val="none"/>
          <w:lang w:val="en-US" w:eastAsia="zh-CN"/>
        </w:rPr>
        <w:t>自然资发</w:t>
      </w:r>
      <w:r>
        <w:rPr>
          <w:rFonts w:hint="default" w:ascii="Times New Roman" w:hAnsi="Times New Roman" w:eastAsia="仿宋"/>
          <w:sz w:val="28"/>
          <w:highlight w:val="none"/>
          <w:lang w:eastAsia="zh-CN"/>
        </w:rPr>
        <w:t>〔202</w:t>
      </w:r>
      <w:r>
        <w:rPr>
          <w:rFonts w:hint="eastAsia" w:ascii="Times New Roman" w:hAnsi="Times New Roman"/>
          <w:sz w:val="28"/>
          <w:highlight w:val="none"/>
          <w:lang w:val="en-US" w:eastAsia="zh-CN"/>
        </w:rPr>
        <w:t>1</w:t>
      </w:r>
      <w:r>
        <w:rPr>
          <w:rFonts w:hint="default" w:ascii="Times New Roman" w:hAnsi="Times New Roman" w:eastAsia="仿宋"/>
          <w:sz w:val="28"/>
          <w:highlight w:val="none"/>
          <w:lang w:eastAsia="zh-CN"/>
        </w:rPr>
        <w:t>〕</w:t>
      </w:r>
      <w:r>
        <w:rPr>
          <w:rFonts w:hint="eastAsia" w:ascii="Times New Roman" w:hAnsi="Times New Roman"/>
          <w:sz w:val="28"/>
          <w:highlight w:val="none"/>
          <w:lang w:val="en-US" w:eastAsia="zh-CN"/>
        </w:rPr>
        <w:t>16号</w:t>
      </w:r>
      <w:r>
        <w:rPr>
          <w:rFonts w:hint="eastAsia" w:ascii="Times New Roman" w:hAnsi="Times New Roman"/>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自然资源部生态</w:t>
      </w:r>
      <w:r>
        <w:rPr>
          <w:rFonts w:hint="default" w:ascii="Times New Roman" w:hAnsi="Times New Roman" w:eastAsia="仿宋"/>
          <w:sz w:val="28"/>
          <w:highlight w:val="none"/>
          <w:lang w:eastAsia="zh-CN"/>
        </w:rPr>
        <w:t>环境部国家林业和草原局</w:t>
      </w:r>
      <w:r>
        <w:rPr>
          <w:rFonts w:hint="eastAsia" w:ascii="Times New Roman" w:hAnsi="Times New Roman"/>
          <w:sz w:val="28"/>
          <w:highlight w:val="none"/>
          <w:lang w:eastAsia="zh-CN"/>
        </w:rPr>
        <w:t>《</w:t>
      </w:r>
      <w:r>
        <w:rPr>
          <w:rFonts w:hint="default" w:ascii="Times New Roman" w:hAnsi="Times New Roman" w:eastAsia="仿宋"/>
          <w:sz w:val="28"/>
          <w:highlight w:val="none"/>
          <w:lang w:eastAsia="zh-CN"/>
        </w:rPr>
        <w:t>关于加强生态保护红线管理的通知（试行）》（自然资发〔2022〕142号）</w:t>
      </w:r>
      <w:r>
        <w:rPr>
          <w:rFonts w:hint="eastAsia" w:ascii="Times New Roman" w:hAnsi="Times New Roman"/>
          <w:sz w:val="28"/>
          <w:highlight w:val="none"/>
          <w:lang w:eastAsia="zh-CN"/>
        </w:rPr>
        <w:t>；</w:t>
      </w:r>
    </w:p>
    <w:p>
      <w:pPr>
        <w:pStyle w:val="39"/>
        <w:numPr>
          <w:ilvl w:val="0"/>
          <w:numId w:val="6"/>
        </w:numPr>
        <w:tabs>
          <w:tab w:val="left" w:pos="1079"/>
          <w:tab w:val="left" w:pos="1080"/>
        </w:tabs>
        <w:spacing w:before="2" w:line="381" w:lineRule="auto"/>
        <w:ind w:left="1079" w:right="397"/>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《自然资源部关于深化规划用地“多审合一、多证合一”改革的通知》（自然资发〔2023〕69号）；</w:t>
      </w:r>
    </w:p>
    <w:p>
      <w:pPr>
        <w:pStyle w:val="39"/>
        <w:numPr>
          <w:ilvl w:val="0"/>
          <w:numId w:val="6"/>
        </w:numPr>
        <w:tabs>
          <w:tab w:val="left" w:pos="1079"/>
          <w:tab w:val="left" w:pos="1080"/>
        </w:tabs>
        <w:spacing w:before="2" w:line="381" w:lineRule="auto"/>
        <w:ind w:right="397"/>
        <w:contextualSpacing w:val="0"/>
        <w:jc w:val="left"/>
        <w:rPr>
          <w:rFonts w:ascii="Times New Roman" w:hAnsi="Times New Roman" w:eastAsia="仿宋"/>
          <w:sz w:val="28"/>
          <w:highlight w:val="none"/>
          <w:lang w:eastAsia="zh-CN"/>
        </w:rPr>
      </w:pPr>
      <w:r>
        <w:rPr>
          <w:rFonts w:hint="eastAsia" w:ascii="Times New Roman" w:hAnsi="Times New Roman" w:eastAsia="仿宋"/>
          <w:spacing w:val="0"/>
          <w:sz w:val="28"/>
          <w:highlight w:val="none"/>
          <w:lang w:eastAsia="zh-CN"/>
        </w:rPr>
        <w:t>《产业结构调整指导目录</w:t>
      </w:r>
      <w:r>
        <w:rPr>
          <w:rFonts w:ascii="Times New Roman" w:hAnsi="Times New Roman" w:eastAsia="仿宋"/>
          <w:sz w:val="28"/>
          <w:highlight w:val="none"/>
          <w:lang w:eastAsia="zh-CN"/>
        </w:rPr>
        <w:t>（2024</w:t>
      </w:r>
      <w:r>
        <w:rPr>
          <w:rFonts w:ascii="Times New Roman" w:hAnsi="Times New Roman" w:eastAsia="仿宋"/>
          <w:spacing w:val="-2"/>
          <w:sz w:val="28"/>
          <w:highlight w:val="none"/>
          <w:lang w:eastAsia="zh-CN"/>
        </w:rPr>
        <w:t>年本</w:t>
      </w:r>
      <w:r>
        <w:rPr>
          <w:rFonts w:ascii="Times New Roman" w:hAnsi="Times New Roman" w:eastAsia="仿宋"/>
          <w:spacing w:val="-15"/>
          <w:sz w:val="28"/>
          <w:highlight w:val="none"/>
          <w:lang w:eastAsia="zh-CN"/>
        </w:rPr>
        <w:t>）</w:t>
      </w:r>
      <w:r>
        <w:rPr>
          <w:rFonts w:ascii="Times New Roman" w:hAnsi="Times New Roman" w:eastAsia="仿宋"/>
          <w:spacing w:val="-29"/>
          <w:sz w:val="28"/>
          <w:highlight w:val="none"/>
          <w:lang w:eastAsia="zh-CN"/>
        </w:rPr>
        <w:t>》</w:t>
      </w:r>
      <w:r>
        <w:rPr>
          <w:rFonts w:ascii="Times New Roman" w:hAnsi="Times New Roman" w:eastAsia="仿宋"/>
          <w:sz w:val="28"/>
          <w:highlight w:val="none"/>
          <w:lang w:eastAsia="zh-CN"/>
        </w:rPr>
        <w:t>（2023</w:t>
      </w:r>
      <w:r>
        <w:rPr>
          <w:rFonts w:ascii="Times New Roman" w:hAnsi="Times New Roman" w:eastAsia="仿宋"/>
          <w:spacing w:val="-35"/>
          <w:sz w:val="28"/>
          <w:highlight w:val="none"/>
          <w:lang w:eastAsia="zh-CN"/>
        </w:rPr>
        <w:t>年</w:t>
      </w:r>
      <w:r>
        <w:rPr>
          <w:rFonts w:ascii="Times New Roman" w:hAnsi="Times New Roman" w:eastAsia="仿宋"/>
          <w:sz w:val="28"/>
          <w:highlight w:val="none"/>
          <w:lang w:eastAsia="zh-CN"/>
        </w:rPr>
        <w:t>12</w:t>
      </w:r>
      <w:r>
        <w:rPr>
          <w:rFonts w:ascii="Times New Roman" w:hAnsi="Times New Roman" w:eastAsia="仿宋"/>
          <w:spacing w:val="-34"/>
          <w:sz w:val="28"/>
          <w:highlight w:val="none"/>
          <w:lang w:eastAsia="zh-CN"/>
        </w:rPr>
        <w:t>月</w:t>
      </w:r>
      <w:r>
        <w:rPr>
          <w:rFonts w:ascii="Times New Roman" w:hAnsi="Times New Roman" w:eastAsia="仿宋"/>
          <w:sz w:val="28"/>
          <w:highlight w:val="none"/>
          <w:lang w:eastAsia="zh-CN"/>
        </w:rPr>
        <w:t>27</w:t>
      </w:r>
      <w:r>
        <w:rPr>
          <w:rFonts w:ascii="Times New Roman" w:hAnsi="Times New Roman" w:eastAsia="仿宋"/>
          <w:spacing w:val="-1"/>
          <w:sz w:val="28"/>
          <w:highlight w:val="none"/>
          <w:lang w:eastAsia="zh-CN"/>
        </w:rPr>
        <w:t>日国家发展</w:t>
      </w:r>
      <w:r>
        <w:rPr>
          <w:rFonts w:ascii="Times New Roman" w:hAnsi="Times New Roman" w:eastAsia="仿宋"/>
          <w:spacing w:val="-13"/>
          <w:sz w:val="28"/>
          <w:highlight w:val="none"/>
          <w:lang w:eastAsia="zh-CN"/>
        </w:rPr>
        <w:t>改革委令第</w:t>
      </w:r>
      <w:r>
        <w:rPr>
          <w:rFonts w:ascii="Times New Roman" w:hAnsi="Times New Roman" w:eastAsia="仿宋"/>
          <w:sz w:val="28"/>
          <w:highlight w:val="none"/>
          <w:lang w:eastAsia="zh-CN"/>
        </w:rPr>
        <w:t>7</w:t>
      </w:r>
      <w:r>
        <w:rPr>
          <w:rFonts w:ascii="Times New Roman" w:hAnsi="Times New Roman" w:eastAsia="仿宋"/>
          <w:spacing w:val="-2"/>
          <w:sz w:val="28"/>
          <w:highlight w:val="none"/>
          <w:lang w:eastAsia="zh-CN"/>
        </w:rPr>
        <w:t>号公布</w:t>
      </w:r>
      <w:r>
        <w:rPr>
          <w:rFonts w:ascii="Times New Roman" w:hAnsi="Times New Roman" w:eastAsia="仿宋"/>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自然资源部 国家发展和改革委员会 国家林业和草原局关于印发《自然</w:t>
      </w:r>
      <w:r>
        <w:rPr>
          <w:rFonts w:ascii="Times New Roman" w:hAnsi="Times New Roman" w:eastAsia="仿宋"/>
          <w:spacing w:val="-3"/>
          <w:sz w:val="28"/>
          <w:highlight w:val="none"/>
          <w:lang w:eastAsia="zh-CN"/>
        </w:rPr>
        <w:t>资源要素支撑产业高质量发展指导目录</w:t>
      </w:r>
      <w:r>
        <w:rPr>
          <w:rFonts w:ascii="Times New Roman" w:hAnsi="Times New Roman" w:eastAsia="仿宋"/>
          <w:sz w:val="28"/>
          <w:highlight w:val="none"/>
          <w:lang w:eastAsia="zh-CN"/>
        </w:rPr>
        <w:t>（2024年本</w:t>
      </w:r>
      <w:r>
        <w:rPr>
          <w:rFonts w:ascii="Times New Roman" w:hAnsi="Times New Roman" w:eastAsia="仿宋"/>
          <w:spacing w:val="-3"/>
          <w:sz w:val="28"/>
          <w:highlight w:val="none"/>
          <w:lang w:eastAsia="zh-CN"/>
        </w:rPr>
        <w:t>）</w:t>
      </w:r>
      <w:r>
        <w:rPr>
          <w:rFonts w:ascii="Times New Roman" w:hAnsi="Times New Roman" w:eastAsia="仿宋"/>
          <w:spacing w:val="-2"/>
          <w:sz w:val="28"/>
          <w:highlight w:val="none"/>
          <w:lang w:eastAsia="zh-CN"/>
        </w:rPr>
        <w:t>》的通知</w:t>
      </w:r>
      <w:r>
        <w:rPr>
          <w:rFonts w:ascii="Times New Roman" w:hAnsi="Times New Roman" w:eastAsia="仿宋"/>
          <w:sz w:val="28"/>
          <w:highlight w:val="none"/>
          <w:lang w:eastAsia="zh-CN"/>
        </w:rPr>
        <w:t>（自然资发〔2024〕273号</w:t>
      </w:r>
      <w:r>
        <w:rPr>
          <w:rFonts w:ascii="Times New Roman" w:hAnsi="Times New Roman" w:eastAsia="仿宋"/>
          <w:spacing w:val="-3"/>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《中共中央办公厅</w:t>
      </w:r>
      <w:r>
        <w:rPr>
          <w:rFonts w:hint="eastAsia" w:ascii="Times New Roman" w:hAnsi="Times New Roman"/>
          <w:sz w:val="28"/>
          <w:highlight w:val="none"/>
          <w:lang w:val="en-US" w:eastAsia="zh-CN"/>
        </w:rPr>
        <w:t xml:space="preserve"> </w:t>
      </w:r>
      <w:r>
        <w:rPr>
          <w:rFonts w:hint="eastAsia" w:ascii="Times New Roman" w:hAnsi="Times New Roman" w:eastAsia="仿宋"/>
          <w:sz w:val="28"/>
          <w:highlight w:val="none"/>
          <w:lang w:eastAsia="zh-CN"/>
        </w:rPr>
        <w:t>国务院办公厅关于加强耕地保护提升耕地质量完善占补平衡的意见》（2024年2月5日）</w:t>
      </w:r>
      <w:r>
        <w:rPr>
          <w:rFonts w:hint="eastAsia" w:ascii="Times New Roman" w:hAnsi="Times New Roman"/>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自然资源部 农业农村部《关于改革完善耕地占补平衡管理的通知》（自然资发〔2024〕204号）</w:t>
      </w:r>
      <w:r>
        <w:rPr>
          <w:rFonts w:hint="eastAsia" w:ascii="Times New Roman" w:hAnsi="Times New Roman"/>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ab/>
      </w:r>
      <w:r>
        <w:rPr>
          <w:rFonts w:hint="eastAsia" w:ascii="Times New Roman" w:hAnsi="Times New Roman" w:eastAsia="仿宋"/>
          <w:sz w:val="28"/>
          <w:highlight w:val="none"/>
          <w:lang w:eastAsia="zh-CN"/>
        </w:rPr>
        <w:t>《中共中央国务院关于进一步深化农村改革扎实推进乡村全面振兴的意见》（2025年中央一号文件）</w:t>
      </w:r>
      <w:r>
        <w:rPr>
          <w:rFonts w:hint="eastAsia" w:ascii="Times New Roman" w:hAnsi="Times New Roman"/>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中共中央国务院印发《乡村全面振兴规划（2024—2027年）》</w:t>
      </w:r>
      <w:r>
        <w:rPr>
          <w:rFonts w:hint="eastAsia" w:ascii="Times New Roman" w:hAnsi="Times New Roman"/>
          <w:sz w:val="28"/>
          <w:highlight w:val="none"/>
          <w:lang w:eastAsia="zh-CN"/>
        </w:rPr>
        <w:t>；</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农业农村部 国家发展改革委 财政部 自然资源部关于印发《全国现代设施农业建设规划 (2023—2030年)》的通知</w:t>
      </w:r>
      <w:r>
        <w:rPr>
          <w:rFonts w:hint="eastAsia" w:ascii="Times New Roman" w:hAnsi="Times New Roman"/>
          <w:sz w:val="28"/>
          <w:highlight w:val="none"/>
          <w:lang w:eastAsia="zh-CN"/>
        </w:rPr>
        <w:t>（农计财发〔2023〕6号）；</w:t>
      </w:r>
    </w:p>
    <w:p>
      <w:pPr>
        <w:pStyle w:val="39"/>
        <w:numPr>
          <w:ilvl w:val="0"/>
          <w:numId w:val="6"/>
        </w:numPr>
        <w:tabs>
          <w:tab w:val="left" w:pos="1080"/>
        </w:tabs>
        <w:spacing w:before="2" w:line="381" w:lineRule="auto"/>
        <w:ind w:right="396"/>
        <w:contextualSpacing w:val="0"/>
        <w:jc w:val="both"/>
        <w:rPr>
          <w:rFonts w:ascii="Times New Roman" w:hAnsi="Times New Roman" w:eastAsia="仿宋"/>
          <w:sz w:val="28"/>
          <w:highlight w:val="none"/>
          <w:lang w:eastAsia="zh-CN"/>
        </w:rPr>
      </w:pPr>
      <w:r>
        <w:rPr>
          <w:rFonts w:hint="eastAsia" w:ascii="Times New Roman" w:hAnsi="Times New Roman"/>
          <w:sz w:val="28"/>
          <w:highlight w:val="none"/>
          <w:lang w:eastAsia="zh-CN"/>
        </w:rPr>
        <w:t>《自然资源部 农业农村部关于设施农业用地管理有关问题的通知》（自然资规〔2019〕4号）；</w:t>
      </w:r>
    </w:p>
    <w:p>
      <w:pPr>
        <w:pStyle w:val="39"/>
        <w:numPr>
          <w:ilvl w:val="0"/>
          <w:numId w:val="6"/>
        </w:numPr>
        <w:tabs>
          <w:tab w:val="left" w:pos="1080"/>
        </w:tabs>
        <w:spacing w:before="2" w:line="381" w:lineRule="auto"/>
        <w:ind w:right="396"/>
        <w:contextualSpacing w:val="0"/>
        <w:jc w:val="both"/>
        <w:rPr>
          <w:rFonts w:hint="eastAsia" w:ascii="Times New Roman" w:hAnsi="Times New Roman"/>
          <w:sz w:val="28"/>
          <w:highlight w:val="none"/>
          <w:lang w:eastAsia="zh-CN"/>
        </w:rPr>
      </w:pPr>
      <w:r>
        <w:rPr>
          <w:rFonts w:hint="eastAsia" w:ascii="Times New Roman" w:hAnsi="Times New Roman"/>
          <w:sz w:val="28"/>
          <w:highlight w:val="none"/>
          <w:lang w:val="en-US" w:eastAsia="zh-CN"/>
        </w:rPr>
        <w:t>《自然资源部 农业农村部关于严格遵守“八不准”要求 坚决遏制新增农村乱占耕地建房问题的通知》（自然资发〔2025〕10号）</w:t>
      </w:r>
    </w:p>
    <w:p>
      <w:pPr>
        <w:pStyle w:val="39"/>
        <w:numPr>
          <w:ilvl w:val="0"/>
          <w:numId w:val="6"/>
        </w:numPr>
        <w:tabs>
          <w:tab w:val="left" w:pos="1080"/>
        </w:tabs>
        <w:spacing w:before="0" w:line="382" w:lineRule="auto"/>
        <w:ind w:left="1077" w:right="397" w:hanging="420"/>
        <w:contextualSpacing w:val="0"/>
        <w:jc w:val="both"/>
        <w:rPr>
          <w:rFonts w:ascii="Times New Roman" w:hAnsi="Times New Roman" w:eastAsia="仿宋"/>
          <w:spacing w:val="4"/>
          <w:sz w:val="28"/>
          <w:highlight w:val="none"/>
          <w:lang w:eastAsia="zh-CN"/>
        </w:rPr>
      </w:pPr>
      <w:r>
        <w:rPr>
          <w:rFonts w:ascii="Times New Roman" w:hAnsi="Times New Roman" w:eastAsia="仿宋"/>
          <w:spacing w:val="4"/>
          <w:sz w:val="28"/>
          <w:highlight w:val="none"/>
          <w:lang w:eastAsia="zh-CN"/>
        </w:rPr>
        <w:t>《广西壮族自治区自然资源厅关于实施点状供地助推乡村振兴的通知》（桂自然资规〔2019〕12号）；</w:t>
      </w:r>
    </w:p>
    <w:p>
      <w:pPr>
        <w:pStyle w:val="39"/>
        <w:numPr>
          <w:ilvl w:val="0"/>
          <w:numId w:val="6"/>
        </w:numPr>
        <w:tabs>
          <w:tab w:val="left" w:pos="1080"/>
        </w:tabs>
        <w:spacing w:before="0" w:line="382" w:lineRule="auto"/>
        <w:ind w:left="1077" w:right="397" w:hanging="420"/>
        <w:contextualSpacing w:val="0"/>
        <w:jc w:val="both"/>
        <w:rPr>
          <w:rFonts w:ascii="Times New Roman" w:hAnsi="Times New Roman" w:eastAsia="仿宋"/>
          <w:spacing w:val="4"/>
          <w:sz w:val="28"/>
          <w:highlight w:val="none"/>
          <w:lang w:eastAsia="zh-CN"/>
        </w:rPr>
      </w:pPr>
      <w:r>
        <w:rPr>
          <w:rFonts w:hint="eastAsia" w:ascii="Times New Roman" w:hAnsi="Times New Roman" w:eastAsia="仿宋"/>
          <w:spacing w:val="4"/>
          <w:sz w:val="28"/>
          <w:highlight w:val="none"/>
          <w:lang w:eastAsia="zh-CN"/>
        </w:rPr>
        <w:t>广西壮族自治区自然资源厅、广西壮族自治区农业农村厅、广西壮族自治区住房和城乡建设厅印发《关于进一步加强农村宅基地管理的通知》（桂农厅发〔2020〕65号）</w:t>
      </w:r>
      <w:r>
        <w:rPr>
          <w:rFonts w:hint="eastAsia" w:ascii="Times New Roman" w:hAnsi="Times New Roman"/>
          <w:spacing w:val="4"/>
          <w:sz w:val="28"/>
          <w:highlight w:val="none"/>
          <w:lang w:eastAsia="zh-CN"/>
        </w:rPr>
        <w:t>；</w:t>
      </w:r>
    </w:p>
    <w:p>
      <w:pPr>
        <w:pStyle w:val="39"/>
        <w:numPr>
          <w:ilvl w:val="0"/>
          <w:numId w:val="6"/>
        </w:numPr>
        <w:tabs>
          <w:tab w:val="left" w:pos="1080"/>
        </w:tabs>
        <w:spacing w:before="0" w:line="382" w:lineRule="auto"/>
        <w:ind w:left="1077" w:right="397" w:hanging="420"/>
        <w:contextualSpacing w:val="0"/>
        <w:jc w:val="both"/>
        <w:rPr>
          <w:rFonts w:ascii="Times New Roman" w:hAnsi="Times New Roman" w:eastAsia="仿宋"/>
          <w:spacing w:val="4"/>
          <w:sz w:val="28"/>
          <w:highlight w:val="none"/>
          <w:lang w:eastAsia="zh-CN"/>
        </w:rPr>
      </w:pPr>
      <w:r>
        <w:rPr>
          <w:rFonts w:ascii="Times New Roman" w:hAnsi="Times New Roman" w:eastAsia="仿宋"/>
          <w:spacing w:val="4"/>
          <w:sz w:val="28"/>
          <w:highlight w:val="none"/>
          <w:lang w:eastAsia="zh-CN"/>
        </w:rPr>
        <w:t>《广西壮族自治区自然资源厅 广西壮族自治区农业农村厅 广西壮族自治区住房和城乡建设厅关于规范农村新增宅基地审批和建房管理的通知》（桂自然资发〔2020〕70号）；</w:t>
      </w:r>
      <w:r>
        <w:rPr>
          <w:rFonts w:hint="eastAsia" w:ascii="Times New Roman" w:hAnsi="Times New Roman"/>
          <w:spacing w:val="4"/>
          <w:sz w:val="28"/>
          <w:highlight w:val="none"/>
          <w:lang w:val="en-US" w:eastAsia="zh-CN"/>
        </w:rPr>
        <w:t>+</w:t>
      </w:r>
    </w:p>
    <w:p>
      <w:pPr>
        <w:pStyle w:val="39"/>
        <w:numPr>
          <w:ilvl w:val="0"/>
          <w:numId w:val="6"/>
        </w:numPr>
        <w:tabs>
          <w:tab w:val="left" w:pos="1080"/>
        </w:tabs>
        <w:spacing w:before="0" w:line="382" w:lineRule="auto"/>
        <w:ind w:left="1077" w:right="397" w:hanging="420"/>
        <w:contextualSpacing w:val="0"/>
        <w:jc w:val="both"/>
        <w:rPr>
          <w:rFonts w:ascii="Times New Roman" w:hAnsi="Times New Roman" w:eastAsia="仿宋"/>
          <w:spacing w:val="4"/>
          <w:sz w:val="28"/>
          <w:highlight w:val="none"/>
          <w:lang w:eastAsia="zh-CN"/>
        </w:rPr>
      </w:pPr>
      <w:r>
        <w:rPr>
          <w:rFonts w:hint="eastAsia" w:ascii="Times New Roman" w:hAnsi="Times New Roman" w:eastAsia="仿宋"/>
          <w:spacing w:val="4"/>
          <w:sz w:val="28"/>
          <w:highlight w:val="none"/>
          <w:lang w:eastAsia="zh-CN"/>
        </w:rPr>
        <w:t>《广西壮族自治区自然资源厅</w:t>
      </w:r>
      <w:r>
        <w:rPr>
          <w:rFonts w:ascii="Times New Roman" w:hAnsi="Times New Roman" w:eastAsia="仿宋"/>
          <w:spacing w:val="4"/>
          <w:sz w:val="28"/>
          <w:highlight w:val="none"/>
          <w:lang w:eastAsia="zh-CN"/>
        </w:rPr>
        <w:t xml:space="preserve"> </w:t>
      </w:r>
      <w:r>
        <w:rPr>
          <w:rFonts w:hint="eastAsia" w:ascii="Times New Roman" w:hAnsi="Times New Roman" w:eastAsia="仿宋"/>
          <w:spacing w:val="4"/>
          <w:sz w:val="28"/>
          <w:highlight w:val="none"/>
          <w:lang w:eastAsia="zh-CN"/>
        </w:rPr>
        <w:t>广西壮族自治区农业农村厅</w:t>
      </w:r>
      <w:r>
        <w:rPr>
          <w:rFonts w:ascii="Times New Roman" w:hAnsi="Times New Roman" w:eastAsia="仿宋"/>
          <w:spacing w:val="4"/>
          <w:sz w:val="28"/>
          <w:highlight w:val="none"/>
          <w:lang w:eastAsia="zh-CN"/>
        </w:rPr>
        <w:t xml:space="preserve"> </w:t>
      </w:r>
      <w:r>
        <w:rPr>
          <w:rFonts w:hint="eastAsia" w:ascii="Times New Roman" w:hAnsi="Times New Roman" w:eastAsia="仿宋"/>
          <w:spacing w:val="4"/>
          <w:sz w:val="28"/>
          <w:highlight w:val="none"/>
          <w:lang w:eastAsia="zh-CN"/>
        </w:rPr>
        <w:t>广西壮族自治区住房和城乡建设厅关于规范农村新增宅基地审批和建房管理的通知政策解读》</w:t>
      </w:r>
      <w:r>
        <w:rPr>
          <w:rFonts w:hint="eastAsia" w:ascii="Times New Roman" w:hAnsi="Times New Roman"/>
          <w:spacing w:val="4"/>
          <w:sz w:val="28"/>
          <w:highlight w:val="none"/>
          <w:lang w:eastAsia="zh-CN"/>
        </w:rPr>
        <w:t>；</w:t>
      </w:r>
    </w:p>
    <w:p>
      <w:pPr>
        <w:pStyle w:val="39"/>
        <w:numPr>
          <w:ilvl w:val="0"/>
          <w:numId w:val="6"/>
        </w:numPr>
        <w:tabs>
          <w:tab w:val="left" w:pos="1080"/>
        </w:tabs>
        <w:spacing w:before="0" w:line="382" w:lineRule="auto"/>
        <w:ind w:left="1077" w:right="397" w:hanging="420"/>
        <w:contextualSpacing w:val="0"/>
        <w:jc w:val="both"/>
        <w:rPr>
          <w:rFonts w:ascii="Times New Roman" w:hAnsi="Times New Roman" w:eastAsia="仿宋"/>
          <w:spacing w:val="4"/>
          <w:sz w:val="28"/>
          <w:highlight w:val="none"/>
          <w:lang w:eastAsia="zh-CN"/>
        </w:rPr>
      </w:pPr>
      <w:r>
        <w:rPr>
          <w:rFonts w:hint="eastAsia" w:ascii="Times New Roman" w:hAnsi="Times New Roman" w:eastAsia="仿宋"/>
          <w:spacing w:val="4"/>
          <w:sz w:val="28"/>
          <w:highlight w:val="none"/>
          <w:lang w:eastAsia="zh-CN"/>
        </w:rPr>
        <w:t>《自治区党委办公厅自治区人民政府办公厅印发〈关于加强乡镇“四所合一”机构履职能力建设提升基层农房管控水平的若干措施〉的通知》（厅发〔2020〕53号）</w:t>
      </w:r>
      <w:r>
        <w:rPr>
          <w:rFonts w:hint="eastAsia" w:ascii="Times New Roman" w:hAnsi="Times New Roman"/>
          <w:spacing w:val="4"/>
          <w:sz w:val="28"/>
          <w:highlight w:val="none"/>
          <w:lang w:eastAsia="zh-CN"/>
        </w:rPr>
        <w:t>；</w:t>
      </w:r>
    </w:p>
    <w:p>
      <w:pPr>
        <w:pStyle w:val="39"/>
        <w:numPr>
          <w:ilvl w:val="0"/>
          <w:numId w:val="6"/>
        </w:numPr>
        <w:tabs>
          <w:tab w:val="left" w:pos="1080"/>
        </w:tabs>
        <w:spacing w:before="0" w:line="382" w:lineRule="auto"/>
        <w:ind w:left="1077" w:right="397" w:hanging="420"/>
        <w:contextualSpacing w:val="0"/>
        <w:jc w:val="both"/>
        <w:rPr>
          <w:rFonts w:ascii="Times New Roman" w:hAnsi="Times New Roman" w:eastAsia="仿宋"/>
          <w:sz w:val="28"/>
          <w:highlight w:val="none"/>
          <w:lang w:eastAsia="zh-CN"/>
        </w:rPr>
      </w:pPr>
      <w:r>
        <w:rPr>
          <w:rFonts w:ascii="Times New Roman" w:hAnsi="Times New Roman" w:eastAsia="仿宋"/>
          <w:spacing w:val="4"/>
          <w:sz w:val="28"/>
          <w:highlight w:val="none"/>
          <w:lang w:eastAsia="zh-CN"/>
        </w:rPr>
        <w:t>广西壮族自治区自然资源厅 广西壮族自治区农业农村厅</w:t>
      </w:r>
      <w:r>
        <w:rPr>
          <w:rFonts w:hint="eastAsia" w:ascii="Times New Roman" w:hAnsi="Times New Roman" w:eastAsia="仿宋"/>
          <w:spacing w:val="4"/>
          <w:sz w:val="28"/>
          <w:highlight w:val="none"/>
          <w:lang w:eastAsia="zh-CN"/>
        </w:rPr>
        <w:t>《</w:t>
      </w:r>
      <w:r>
        <w:rPr>
          <w:rFonts w:ascii="Times New Roman" w:hAnsi="Times New Roman" w:eastAsia="仿宋"/>
          <w:spacing w:val="4"/>
          <w:sz w:val="28"/>
          <w:highlight w:val="none"/>
          <w:lang w:eastAsia="zh-CN"/>
        </w:rPr>
        <w:t>关于进一步</w:t>
      </w:r>
      <w:r>
        <w:rPr>
          <w:rFonts w:ascii="Times New Roman" w:hAnsi="Times New Roman" w:eastAsia="仿宋"/>
          <w:spacing w:val="-3"/>
          <w:sz w:val="28"/>
          <w:highlight w:val="none"/>
          <w:lang w:eastAsia="zh-CN"/>
        </w:rPr>
        <w:t>加强和规范我区设施农业用地管理的通知</w:t>
      </w:r>
      <w:r>
        <w:rPr>
          <w:rFonts w:ascii="Times New Roman" w:hAnsi="Times New Roman" w:eastAsia="仿宋"/>
          <w:spacing w:val="-164"/>
          <w:sz w:val="28"/>
          <w:highlight w:val="none"/>
          <w:lang w:eastAsia="zh-CN"/>
        </w:rPr>
        <w:t>》</w:t>
      </w:r>
      <w:r>
        <w:rPr>
          <w:rFonts w:ascii="Times New Roman" w:hAnsi="Times New Roman" w:eastAsia="仿宋"/>
          <w:sz w:val="28"/>
          <w:highlight w:val="none"/>
          <w:lang w:eastAsia="zh-CN"/>
        </w:rPr>
        <w:t>（</w:t>
      </w:r>
      <w:r>
        <w:rPr>
          <w:rFonts w:ascii="Times New Roman" w:hAnsi="Times New Roman" w:eastAsia="仿宋"/>
          <w:spacing w:val="-16"/>
          <w:sz w:val="28"/>
          <w:highlight w:val="none"/>
          <w:lang w:eastAsia="zh-CN"/>
        </w:rPr>
        <w:t>桂自然资规〔</w:t>
      </w:r>
      <w:r>
        <w:rPr>
          <w:rFonts w:ascii="Times New Roman" w:hAnsi="Times New Roman" w:eastAsia="仿宋"/>
          <w:sz w:val="28"/>
          <w:highlight w:val="none"/>
          <w:lang w:eastAsia="zh-CN"/>
        </w:rPr>
        <w:t>2020</w:t>
      </w:r>
      <w:r>
        <w:rPr>
          <w:rFonts w:ascii="Times New Roman" w:hAnsi="Times New Roman" w:eastAsia="仿宋"/>
          <w:spacing w:val="-82"/>
          <w:sz w:val="28"/>
          <w:highlight w:val="none"/>
          <w:lang w:eastAsia="zh-CN"/>
        </w:rPr>
        <w:t>〕</w:t>
      </w:r>
      <w:r>
        <w:rPr>
          <w:rFonts w:ascii="Times New Roman" w:hAnsi="Times New Roman" w:eastAsia="仿宋"/>
          <w:sz w:val="28"/>
          <w:highlight w:val="none"/>
          <w:lang w:eastAsia="zh-CN"/>
        </w:rPr>
        <w:t>3号</w:t>
      </w:r>
      <w:r>
        <w:rPr>
          <w:rFonts w:ascii="Times New Roman" w:hAnsi="Times New Roman" w:eastAsia="仿宋"/>
          <w:spacing w:val="-42"/>
          <w:sz w:val="28"/>
          <w:highlight w:val="none"/>
          <w:lang w:eastAsia="zh-CN"/>
        </w:rPr>
        <w:t>）；</w:t>
      </w:r>
    </w:p>
    <w:p>
      <w:pPr>
        <w:pStyle w:val="39"/>
        <w:numPr>
          <w:ilvl w:val="0"/>
          <w:numId w:val="6"/>
        </w:numPr>
        <w:tabs>
          <w:tab w:val="left" w:pos="1080"/>
        </w:tabs>
        <w:spacing w:before="2" w:line="384" w:lineRule="auto"/>
        <w:ind w:right="391"/>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广西壮族自治区自然资源厅 广西壮族自治区发展和改革委员会 广西壮族自治区农业农村厅</w:t>
      </w:r>
      <w:r>
        <w:rPr>
          <w:rFonts w:hint="eastAsia" w:ascii="Times New Roman" w:hAnsi="Times New Roman" w:eastAsia="仿宋"/>
          <w:sz w:val="28"/>
          <w:highlight w:val="none"/>
          <w:lang w:eastAsia="zh-CN"/>
        </w:rPr>
        <w:t>《</w:t>
      </w:r>
      <w:r>
        <w:rPr>
          <w:rFonts w:ascii="Times New Roman" w:hAnsi="Times New Roman" w:eastAsia="仿宋"/>
          <w:sz w:val="28"/>
          <w:highlight w:val="none"/>
          <w:lang w:eastAsia="zh-CN"/>
        </w:rPr>
        <w:t>关</w:t>
      </w:r>
      <w:r>
        <w:rPr>
          <w:rFonts w:hint="eastAsia" w:ascii="Times New Roman" w:hAnsi="Times New Roman" w:eastAsia="仿宋"/>
          <w:sz w:val="28"/>
          <w:highlight w:val="none"/>
          <w:lang w:eastAsia="zh-CN"/>
        </w:rPr>
        <w:t>于</w:t>
      </w:r>
      <w:r>
        <w:rPr>
          <w:rFonts w:ascii="Times New Roman" w:hAnsi="Times New Roman" w:eastAsia="仿宋"/>
          <w:sz w:val="28"/>
          <w:highlight w:val="none"/>
          <w:lang w:eastAsia="zh-CN"/>
        </w:rPr>
        <w:t>进一步支持农村一</w:t>
      </w:r>
      <w:r>
        <w:rPr>
          <w:rFonts w:hint="eastAsia" w:ascii="Times New Roman" w:hAnsi="Times New Roman" w:eastAsia="仿宋"/>
          <w:sz w:val="28"/>
          <w:highlight w:val="none"/>
          <w:lang w:eastAsia="zh-CN"/>
        </w:rPr>
        <w:t>二、三产业</w:t>
      </w:r>
      <w:r>
        <w:rPr>
          <w:rFonts w:ascii="Times New Roman" w:hAnsi="Times New Roman" w:eastAsia="仿宋"/>
          <w:sz w:val="28"/>
          <w:highlight w:val="none"/>
          <w:lang w:eastAsia="zh-CN"/>
        </w:rPr>
        <w:t>融合发展用地有</w:t>
      </w:r>
      <w:r>
        <w:rPr>
          <w:rFonts w:ascii="Times New Roman" w:hAnsi="Times New Roman" w:eastAsia="仿宋"/>
          <w:spacing w:val="-2"/>
          <w:sz w:val="28"/>
          <w:highlight w:val="none"/>
          <w:lang w:eastAsia="zh-CN"/>
        </w:rPr>
        <w:t>关事项的通知》</w:t>
      </w:r>
      <w:r>
        <w:rPr>
          <w:rFonts w:ascii="Times New Roman" w:hAnsi="Times New Roman" w:eastAsia="仿宋"/>
          <w:spacing w:val="-3"/>
          <w:sz w:val="28"/>
          <w:highlight w:val="none"/>
          <w:lang w:eastAsia="zh-CN"/>
        </w:rPr>
        <w:t>（</w:t>
      </w:r>
      <w:r>
        <w:rPr>
          <w:rFonts w:ascii="Times New Roman" w:hAnsi="Times New Roman" w:eastAsia="仿宋"/>
          <w:spacing w:val="-1"/>
          <w:sz w:val="28"/>
          <w:highlight w:val="none"/>
          <w:lang w:eastAsia="zh-CN"/>
        </w:rPr>
        <w:t>桂自然资发〔</w:t>
      </w:r>
      <w:r>
        <w:rPr>
          <w:rFonts w:ascii="Times New Roman" w:hAnsi="Times New Roman" w:eastAsia="仿宋"/>
          <w:sz w:val="28"/>
          <w:highlight w:val="none"/>
          <w:lang w:eastAsia="zh-CN"/>
        </w:rPr>
        <w:t>2021〕49号）；</w:t>
      </w:r>
    </w:p>
    <w:p>
      <w:pPr>
        <w:pStyle w:val="39"/>
        <w:numPr>
          <w:ilvl w:val="0"/>
          <w:numId w:val="6"/>
        </w:numPr>
        <w:tabs>
          <w:tab w:val="left" w:pos="1080"/>
        </w:tabs>
        <w:spacing w:line="381" w:lineRule="auto"/>
        <w:ind w:right="393"/>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广西壮族自治区自然资源厅</w:t>
      </w:r>
      <w:r>
        <w:rPr>
          <w:rFonts w:hint="eastAsia" w:ascii="Times New Roman" w:hAnsi="Times New Roman" w:eastAsia="仿宋"/>
          <w:sz w:val="28"/>
          <w:highlight w:val="none"/>
          <w:lang w:eastAsia="zh-CN"/>
        </w:rPr>
        <w:t>《</w:t>
      </w:r>
      <w:r>
        <w:rPr>
          <w:rFonts w:ascii="Times New Roman" w:hAnsi="Times New Roman" w:eastAsia="仿宋"/>
          <w:sz w:val="28"/>
          <w:highlight w:val="none"/>
          <w:lang w:eastAsia="zh-CN"/>
        </w:rPr>
        <w:t>关于强化村庄规划编制实施助力乡村振兴</w:t>
      </w:r>
      <w:r>
        <w:rPr>
          <w:rFonts w:ascii="Times New Roman" w:hAnsi="Times New Roman" w:eastAsia="仿宋"/>
          <w:spacing w:val="-1"/>
          <w:sz w:val="28"/>
          <w:highlight w:val="none"/>
          <w:lang w:eastAsia="zh-CN"/>
        </w:rPr>
        <w:t>的通知》</w:t>
      </w:r>
      <w:r>
        <w:rPr>
          <w:rFonts w:ascii="Times New Roman" w:hAnsi="Times New Roman" w:eastAsia="仿宋"/>
          <w:sz w:val="28"/>
          <w:highlight w:val="none"/>
          <w:lang w:eastAsia="zh-CN"/>
        </w:rPr>
        <w:t>（</w:t>
      </w:r>
      <w:r>
        <w:rPr>
          <w:rFonts w:ascii="Times New Roman" w:hAnsi="Times New Roman" w:eastAsia="仿宋"/>
          <w:spacing w:val="-3"/>
          <w:sz w:val="28"/>
          <w:highlight w:val="none"/>
          <w:lang w:eastAsia="zh-CN"/>
        </w:rPr>
        <w:t>桂自然资发〔</w:t>
      </w:r>
      <w:r>
        <w:rPr>
          <w:rFonts w:ascii="Times New Roman" w:hAnsi="Times New Roman" w:eastAsia="仿宋"/>
          <w:sz w:val="28"/>
          <w:highlight w:val="none"/>
          <w:lang w:eastAsia="zh-CN"/>
        </w:rPr>
        <w:t>2023</w:t>
      </w:r>
      <w:r>
        <w:rPr>
          <w:rFonts w:ascii="Times New Roman" w:hAnsi="Times New Roman" w:eastAsia="仿宋"/>
          <w:spacing w:val="-3"/>
          <w:sz w:val="28"/>
          <w:highlight w:val="none"/>
          <w:lang w:eastAsia="zh-CN"/>
        </w:rPr>
        <w:t>〕</w:t>
      </w:r>
      <w:r>
        <w:rPr>
          <w:rFonts w:ascii="Times New Roman" w:hAnsi="Times New Roman" w:eastAsia="仿宋"/>
          <w:sz w:val="28"/>
          <w:highlight w:val="none"/>
          <w:lang w:eastAsia="zh-CN"/>
        </w:rPr>
        <w:t>39</w:t>
      </w:r>
      <w:r>
        <w:rPr>
          <w:rFonts w:ascii="Times New Roman" w:hAnsi="Times New Roman" w:eastAsia="仿宋"/>
          <w:spacing w:val="-3"/>
          <w:sz w:val="28"/>
          <w:highlight w:val="none"/>
          <w:lang w:eastAsia="zh-CN"/>
        </w:rPr>
        <w:t>号</w:t>
      </w:r>
      <w:r>
        <w:rPr>
          <w:rFonts w:ascii="Times New Roman" w:hAnsi="Times New Roman" w:eastAsia="仿宋"/>
          <w:sz w:val="28"/>
          <w:highlight w:val="none"/>
          <w:lang w:eastAsia="zh-CN"/>
        </w:rPr>
        <w:t>）；</w:t>
      </w:r>
    </w:p>
    <w:p>
      <w:pPr>
        <w:pStyle w:val="39"/>
        <w:numPr>
          <w:ilvl w:val="0"/>
          <w:numId w:val="6"/>
        </w:numPr>
        <w:tabs>
          <w:tab w:val="left" w:pos="1080"/>
        </w:tabs>
        <w:spacing w:line="381" w:lineRule="auto"/>
        <w:ind w:right="395"/>
        <w:contextualSpacing w:val="0"/>
        <w:jc w:val="both"/>
        <w:rPr>
          <w:rFonts w:ascii="Times New Roman" w:hAnsi="Times New Roman" w:eastAsia="仿宋"/>
          <w:sz w:val="28"/>
          <w:highlight w:val="none"/>
          <w:lang w:eastAsia="zh-CN"/>
        </w:rPr>
      </w:pPr>
      <w:r>
        <w:rPr>
          <w:rFonts w:ascii="Times New Roman" w:hAnsi="Times New Roman" w:eastAsia="仿宋"/>
          <w:spacing w:val="4"/>
          <w:sz w:val="28"/>
          <w:highlight w:val="none"/>
          <w:lang w:eastAsia="zh-CN"/>
        </w:rPr>
        <w:t>广西壮族自治区自然资源厅 中共广西壮族自治区委员会农村工作领</w:t>
      </w:r>
      <w:r>
        <w:rPr>
          <w:rFonts w:ascii="Times New Roman" w:hAnsi="Times New Roman" w:eastAsia="仿宋"/>
          <w:spacing w:val="-11"/>
          <w:sz w:val="28"/>
          <w:highlight w:val="none"/>
          <w:lang w:eastAsia="zh-CN"/>
        </w:rPr>
        <w:t>导小组办公室</w:t>
      </w:r>
      <w:r>
        <w:rPr>
          <w:rFonts w:hint="eastAsia" w:ascii="Times New Roman" w:hAnsi="Times New Roman" w:eastAsia="仿宋"/>
          <w:spacing w:val="-11"/>
          <w:sz w:val="28"/>
          <w:highlight w:val="none"/>
          <w:lang w:eastAsia="zh-CN"/>
        </w:rPr>
        <w:t>《</w:t>
      </w:r>
      <w:r>
        <w:rPr>
          <w:rFonts w:ascii="Times New Roman" w:hAnsi="Times New Roman" w:eastAsia="仿宋"/>
          <w:spacing w:val="-11"/>
          <w:sz w:val="28"/>
          <w:highlight w:val="none"/>
          <w:lang w:eastAsia="zh-CN"/>
        </w:rPr>
        <w:t>关于学习运用“千万工程”经验做好</w:t>
      </w:r>
      <w:r>
        <w:rPr>
          <w:rFonts w:ascii="Times New Roman" w:hAnsi="Times New Roman" w:eastAsia="仿宋"/>
          <w:sz w:val="28"/>
          <w:highlight w:val="none"/>
          <w:lang w:eastAsia="zh-CN"/>
        </w:rPr>
        <w:t>2024</w:t>
      </w:r>
      <w:r>
        <w:rPr>
          <w:rFonts w:ascii="Times New Roman" w:hAnsi="Times New Roman" w:eastAsia="仿宋"/>
          <w:spacing w:val="-1"/>
          <w:sz w:val="28"/>
          <w:highlight w:val="none"/>
          <w:lang w:eastAsia="zh-CN"/>
        </w:rPr>
        <w:t>年村庄规划编制</w:t>
      </w:r>
      <w:r>
        <w:rPr>
          <w:rFonts w:ascii="Times New Roman" w:hAnsi="Times New Roman" w:eastAsia="仿宋"/>
          <w:spacing w:val="-3"/>
          <w:sz w:val="28"/>
          <w:highlight w:val="none"/>
          <w:lang w:eastAsia="zh-CN"/>
        </w:rPr>
        <w:t>实施工作的通知》</w:t>
      </w:r>
      <w:r>
        <w:rPr>
          <w:rFonts w:ascii="Times New Roman" w:hAnsi="Times New Roman" w:eastAsia="仿宋"/>
          <w:sz w:val="28"/>
          <w:highlight w:val="none"/>
          <w:lang w:eastAsia="zh-CN"/>
        </w:rPr>
        <w:t>（</w:t>
      </w:r>
      <w:r>
        <w:rPr>
          <w:rFonts w:ascii="Times New Roman" w:hAnsi="Times New Roman" w:eastAsia="仿宋"/>
          <w:spacing w:val="-1"/>
          <w:sz w:val="28"/>
          <w:highlight w:val="none"/>
          <w:lang w:eastAsia="zh-CN"/>
        </w:rPr>
        <w:t>桂自然资发〔</w:t>
      </w:r>
      <w:r>
        <w:rPr>
          <w:rFonts w:ascii="Times New Roman" w:hAnsi="Times New Roman" w:eastAsia="仿宋"/>
          <w:sz w:val="28"/>
          <w:highlight w:val="none"/>
          <w:lang w:eastAsia="zh-CN"/>
        </w:rPr>
        <w:t>2024</w:t>
      </w:r>
      <w:r>
        <w:rPr>
          <w:rFonts w:ascii="Times New Roman" w:hAnsi="Times New Roman" w:eastAsia="仿宋"/>
          <w:spacing w:val="-3"/>
          <w:sz w:val="28"/>
          <w:highlight w:val="none"/>
          <w:lang w:eastAsia="zh-CN"/>
        </w:rPr>
        <w:t>〕</w:t>
      </w:r>
      <w:r>
        <w:rPr>
          <w:rFonts w:ascii="Times New Roman" w:hAnsi="Times New Roman" w:eastAsia="仿宋"/>
          <w:sz w:val="28"/>
          <w:highlight w:val="none"/>
          <w:lang w:eastAsia="zh-CN"/>
        </w:rPr>
        <w:t>16</w:t>
      </w:r>
      <w:r>
        <w:rPr>
          <w:rFonts w:ascii="Times New Roman" w:hAnsi="Times New Roman" w:eastAsia="仿宋"/>
          <w:spacing w:val="-3"/>
          <w:sz w:val="28"/>
          <w:highlight w:val="none"/>
          <w:lang w:eastAsia="zh-CN"/>
        </w:rPr>
        <w:t>号</w:t>
      </w:r>
      <w:r>
        <w:rPr>
          <w:rFonts w:ascii="Times New Roman" w:hAnsi="Times New Roman" w:eastAsia="仿宋"/>
          <w:sz w:val="28"/>
          <w:highlight w:val="none"/>
          <w:lang w:eastAsia="zh-CN"/>
        </w:rPr>
        <w:t>）；</w:t>
      </w:r>
    </w:p>
    <w:p>
      <w:pPr>
        <w:pStyle w:val="39"/>
        <w:numPr>
          <w:ilvl w:val="0"/>
          <w:numId w:val="6"/>
        </w:numPr>
        <w:tabs>
          <w:tab w:val="left" w:pos="1080"/>
        </w:tabs>
        <w:spacing w:line="381" w:lineRule="auto"/>
        <w:ind w:right="393"/>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广西壮族自治区自然资源厅办公室关于印发《广西壮族自治区低成本实用性简易型村庄规划编制技术导则（试行）》的通知（桂自然资办〔2023〕289号）；</w:t>
      </w:r>
    </w:p>
    <w:p>
      <w:pPr>
        <w:pStyle w:val="39"/>
        <w:numPr>
          <w:ilvl w:val="0"/>
          <w:numId w:val="6"/>
        </w:numPr>
        <w:tabs>
          <w:tab w:val="left" w:pos="1080"/>
        </w:tabs>
        <w:spacing w:line="381" w:lineRule="auto"/>
        <w:ind w:right="393"/>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广西壮族自治区自然资源厅办公室关于印发《广西壮族自治区乡村地区“通则式”规划管理规定编制指引（试行）》的通知（桂自然资办〔2024〕196号）；</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广西壮族自治区自然资源厅 广西壮族自治区生态环境厅 广西壮族自</w:t>
      </w:r>
      <w:r>
        <w:rPr>
          <w:rFonts w:ascii="Times New Roman" w:hAnsi="Times New Roman" w:eastAsia="仿宋"/>
          <w:spacing w:val="3"/>
          <w:sz w:val="28"/>
          <w:highlight w:val="none"/>
          <w:lang w:eastAsia="zh-CN"/>
        </w:rPr>
        <w:t>治区林业局 广西壮族自治区海洋局</w:t>
      </w:r>
      <w:r>
        <w:rPr>
          <w:rFonts w:hint="eastAsia" w:ascii="Times New Roman" w:hAnsi="Times New Roman"/>
          <w:spacing w:val="3"/>
          <w:sz w:val="28"/>
          <w:highlight w:val="none"/>
          <w:lang w:eastAsia="zh-CN"/>
        </w:rPr>
        <w:t>《</w:t>
      </w:r>
      <w:r>
        <w:rPr>
          <w:rFonts w:ascii="Times New Roman" w:hAnsi="Times New Roman" w:eastAsia="仿宋"/>
          <w:spacing w:val="3"/>
          <w:sz w:val="28"/>
          <w:highlight w:val="none"/>
          <w:lang w:eastAsia="zh-CN"/>
        </w:rPr>
        <w:t>关于印发广西生态保护红线监管办法（</w:t>
      </w:r>
      <w:r>
        <w:rPr>
          <w:rFonts w:ascii="Times New Roman" w:hAnsi="Times New Roman" w:eastAsia="仿宋"/>
          <w:sz w:val="28"/>
          <w:highlight w:val="none"/>
          <w:lang w:eastAsia="zh-CN"/>
        </w:rPr>
        <w:t>试行）</w:t>
      </w:r>
      <w:r>
        <w:rPr>
          <w:rFonts w:ascii="Times New Roman" w:hAnsi="Times New Roman" w:eastAsia="仿宋"/>
          <w:spacing w:val="-3"/>
          <w:sz w:val="28"/>
          <w:highlight w:val="none"/>
          <w:lang w:eastAsia="zh-CN"/>
        </w:rPr>
        <w:t>的通知》</w:t>
      </w:r>
      <w:r>
        <w:rPr>
          <w:rFonts w:ascii="Times New Roman" w:hAnsi="Times New Roman" w:eastAsia="仿宋"/>
          <w:sz w:val="28"/>
          <w:highlight w:val="none"/>
          <w:lang w:eastAsia="zh-CN"/>
        </w:rPr>
        <w:t>（</w:t>
      </w:r>
      <w:r>
        <w:rPr>
          <w:rFonts w:ascii="Times New Roman" w:hAnsi="Times New Roman" w:eastAsia="仿宋"/>
          <w:spacing w:val="-3"/>
          <w:sz w:val="28"/>
          <w:highlight w:val="none"/>
          <w:lang w:eastAsia="zh-CN"/>
        </w:rPr>
        <w:t>桂自然资规〔</w:t>
      </w:r>
      <w:r>
        <w:rPr>
          <w:rFonts w:ascii="Times New Roman" w:hAnsi="Times New Roman" w:eastAsia="仿宋"/>
          <w:sz w:val="28"/>
          <w:highlight w:val="none"/>
          <w:lang w:eastAsia="zh-CN"/>
        </w:rPr>
        <w:t>2023</w:t>
      </w:r>
      <w:r>
        <w:rPr>
          <w:rFonts w:ascii="Times New Roman" w:hAnsi="Times New Roman" w:eastAsia="仿宋"/>
          <w:spacing w:val="-3"/>
          <w:sz w:val="28"/>
          <w:highlight w:val="none"/>
          <w:lang w:eastAsia="zh-CN"/>
        </w:rPr>
        <w:t>〕</w:t>
      </w:r>
      <w:r>
        <w:rPr>
          <w:rFonts w:ascii="Times New Roman" w:hAnsi="Times New Roman" w:eastAsia="仿宋"/>
          <w:sz w:val="28"/>
          <w:highlight w:val="none"/>
          <w:lang w:eastAsia="zh-CN"/>
        </w:rPr>
        <w:t>4号）；</w:t>
      </w:r>
    </w:p>
    <w:p>
      <w:pPr>
        <w:pStyle w:val="39"/>
        <w:numPr>
          <w:ilvl w:val="0"/>
          <w:numId w:val="6"/>
        </w:numPr>
        <w:tabs>
          <w:tab w:val="left" w:pos="1080"/>
        </w:tabs>
        <w:spacing w:line="381" w:lineRule="auto"/>
        <w:ind w:right="393"/>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自治区自然资源厅 自治区农业农村厅</w:t>
      </w:r>
      <w:r>
        <w:rPr>
          <w:rFonts w:hint="eastAsia" w:ascii="Times New Roman" w:hAnsi="Times New Roman"/>
          <w:sz w:val="28"/>
          <w:highlight w:val="none"/>
          <w:lang w:eastAsia="zh-CN"/>
        </w:rPr>
        <w:t>《</w:t>
      </w:r>
      <w:r>
        <w:rPr>
          <w:rFonts w:hint="eastAsia" w:ascii="Times New Roman" w:hAnsi="Times New Roman" w:eastAsia="仿宋"/>
          <w:sz w:val="28"/>
          <w:highlight w:val="none"/>
          <w:lang w:eastAsia="zh-CN"/>
        </w:rPr>
        <w:t>关于进一步加强和规范我区设施农业用地管理的通知</w:t>
      </w:r>
      <w:r>
        <w:rPr>
          <w:rFonts w:hint="eastAsia" w:ascii="Times New Roman" w:hAnsi="Times New Roman"/>
          <w:sz w:val="28"/>
          <w:highlight w:val="none"/>
          <w:lang w:eastAsia="zh-CN"/>
        </w:rPr>
        <w:t>》（桂自然资规〔2020〕3号）；</w:t>
      </w:r>
    </w:p>
    <w:p>
      <w:pPr>
        <w:pStyle w:val="39"/>
        <w:numPr>
          <w:ilvl w:val="0"/>
          <w:numId w:val="6"/>
        </w:numPr>
        <w:tabs>
          <w:tab w:val="left" w:pos="1080"/>
        </w:tabs>
        <w:spacing w:line="381" w:lineRule="auto"/>
        <w:ind w:right="393"/>
        <w:contextualSpacing w:val="0"/>
        <w:jc w:val="both"/>
        <w:rPr>
          <w:rFonts w:hint="eastAsia" w:ascii="Times New Roman" w:hAnsi="Times New Roman" w:eastAsia="仿宋"/>
          <w:sz w:val="28"/>
          <w:highlight w:val="none"/>
          <w:lang w:eastAsia="zh-CN"/>
        </w:rPr>
      </w:pPr>
      <w:r>
        <w:rPr>
          <w:rFonts w:hint="eastAsia" w:ascii="Times New Roman" w:hAnsi="Times New Roman" w:eastAsia="仿宋"/>
          <w:sz w:val="28"/>
          <w:highlight w:val="none"/>
          <w:lang w:eastAsia="zh-CN"/>
        </w:rPr>
        <w:t>广西壮族自治区自然资源厅</w:t>
      </w:r>
      <w:r>
        <w:rPr>
          <w:rFonts w:hint="eastAsia" w:ascii="Times New Roman" w:hAnsi="Times New Roman"/>
          <w:sz w:val="28"/>
          <w:highlight w:val="none"/>
          <w:lang w:eastAsia="zh-CN"/>
        </w:rPr>
        <w:t>《</w:t>
      </w:r>
      <w:r>
        <w:rPr>
          <w:rFonts w:hint="eastAsia" w:ascii="Times New Roman" w:hAnsi="Times New Roman" w:eastAsia="仿宋"/>
          <w:sz w:val="28"/>
          <w:highlight w:val="none"/>
          <w:lang w:eastAsia="zh-CN"/>
        </w:rPr>
        <w:t>关于强化村庄规划 编制实施助力乡村振兴的通知》（桂自然资发〔2023〕39号）</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柳州市自然资源和规划局 柳州市农业农村局 柳州市住房和城乡建设局关于印发《柳州市农村农民建房“一件事”办事指南》的通知</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柳州市农业农村局柳州市自然资源和规划局柳州市住房和城乡建设局印发《关于进一步加强农村宅基地管理的实施意见的通知》（柳农规〔2020〕7号）</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柳州市农业农村局 柳州市自然资源和规划局 柳州市住房和城乡建设局《关于印发〈关于农村新增宅基地审批和建房管理工作方案〉的通知》（柳资源规划发〔2021〕2号）</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hint="eastAsia" w:ascii="Times New Roman" w:hAnsi="Times New Roman" w:eastAsia="仿宋"/>
          <w:sz w:val="28"/>
          <w:highlight w:val="none"/>
          <w:lang w:eastAsia="zh-CN"/>
        </w:rPr>
      </w:pPr>
      <w:r>
        <w:rPr>
          <w:rFonts w:hint="eastAsia" w:ascii="Times New Roman" w:hAnsi="Times New Roman" w:eastAsia="仿宋"/>
          <w:sz w:val="28"/>
          <w:highlight w:val="none"/>
          <w:lang w:eastAsia="zh-CN"/>
        </w:rPr>
        <w:t>柳州市自然资源和规划局 柳州市农业农村局关于印发《柳州市设施农业用地管理实施细则》的通知</w:t>
      </w:r>
      <w:r>
        <w:rPr>
          <w:rFonts w:hint="eastAsia" w:ascii="Times New Roman" w:hAnsi="Times New Roman"/>
          <w:sz w:val="28"/>
          <w:highlight w:val="none"/>
          <w:lang w:eastAsia="zh-CN"/>
        </w:rPr>
        <w:t>（柳资源规划规〔2020〕2号）；</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鱼峰区人民政府办公室关于印发《鱼峰区2025年地质灾害防治方案》的通知</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ascii="Times New Roman" w:hAnsi="Times New Roman" w:eastAsia="仿宋"/>
          <w:sz w:val="28"/>
          <w:highlight w:val="none"/>
          <w:lang w:eastAsia="zh-CN"/>
        </w:rPr>
        <w:t>鱼峰区人民政府关于印发《鱼峰区农村集体经营性建设用地入市管理办法（试行）》的通知</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鱼峰区第一次全国自然灾害综合风险普查公报（第一号）</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鱼峰区第一次全国自然灾害综合风险普查公报（第二号）</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鱼峰区第一次全国自然灾害综合风险普查公报（第三号）</w:t>
      </w:r>
      <w:r>
        <w:rPr>
          <w:rFonts w:hint="eastAsia" w:ascii="Times New Roman" w:hAnsi="Times New Roman"/>
          <w:sz w:val="28"/>
          <w:highlight w:val="none"/>
          <w:lang w:eastAsia="zh-CN"/>
        </w:rPr>
        <w:t>；</w:t>
      </w:r>
    </w:p>
    <w:p>
      <w:pPr>
        <w:pStyle w:val="39"/>
        <w:numPr>
          <w:ilvl w:val="0"/>
          <w:numId w:val="6"/>
        </w:numPr>
        <w:tabs>
          <w:tab w:val="left" w:pos="1080"/>
        </w:tabs>
        <w:spacing w:line="381" w:lineRule="auto"/>
        <w:ind w:right="391"/>
        <w:contextualSpacing w:val="0"/>
        <w:jc w:val="both"/>
        <w:rPr>
          <w:rFonts w:ascii="Times New Roman" w:hAnsi="Times New Roman" w:eastAsia="仿宋"/>
          <w:sz w:val="28"/>
          <w:highlight w:val="none"/>
          <w:lang w:eastAsia="zh-CN"/>
        </w:rPr>
      </w:pPr>
      <w:r>
        <w:rPr>
          <w:rFonts w:hint="eastAsia" w:ascii="Times New Roman" w:hAnsi="Times New Roman" w:eastAsia="仿宋"/>
          <w:sz w:val="28"/>
          <w:highlight w:val="none"/>
          <w:lang w:eastAsia="zh-CN"/>
        </w:rPr>
        <w:t>鱼峰区人民政府关于印发《鱼峰区农村公路养护管理实施办法》的通知（鱼政发〔2025〕1号）</w:t>
      </w:r>
      <w:r>
        <w:rPr>
          <w:rFonts w:hint="eastAsia" w:ascii="Times New Roman" w:hAnsi="Times New Roman"/>
          <w:sz w:val="28"/>
          <w:highlight w:val="none"/>
          <w:lang w:eastAsia="zh-CN"/>
        </w:rPr>
        <w:t>。</w:t>
      </w:r>
    </w:p>
    <w:p>
      <w:pPr>
        <w:pStyle w:val="39"/>
        <w:numPr>
          <w:ilvl w:val="-1"/>
          <w:numId w:val="0"/>
        </w:numPr>
        <w:tabs>
          <w:tab w:val="left" w:pos="1079"/>
          <w:tab w:val="left" w:pos="1080"/>
        </w:tabs>
        <w:spacing w:before="212" w:line="381" w:lineRule="auto"/>
        <w:ind w:left="0" w:right="398" w:firstLine="0"/>
        <w:contextualSpacing w:val="0"/>
        <w:rPr>
          <w:rFonts w:hint="eastAsia" w:ascii="Times New Roman" w:hAnsi="Times New Roman" w:eastAsia="仿宋"/>
          <w:sz w:val="28"/>
          <w:highlight w:val="none"/>
          <w:lang w:eastAsia="zh-CN"/>
        </w:rPr>
      </w:pPr>
    </w:p>
    <w:p>
      <w:pPr>
        <w:pStyle w:val="39"/>
        <w:tabs>
          <w:tab w:val="left" w:pos="1080"/>
        </w:tabs>
        <w:spacing w:line="381" w:lineRule="auto"/>
        <w:ind w:left="0" w:right="391"/>
        <w:contextualSpacing w:val="0"/>
        <w:jc w:val="both"/>
        <w:rPr>
          <w:sz w:val="28"/>
          <w:highlight w:val="none"/>
          <w:lang w:eastAsia="zh-CN"/>
        </w:rPr>
        <w:sectPr>
          <w:pgSz w:w="11910" w:h="16840"/>
          <w:pgMar w:top="1480" w:right="680" w:bottom="880" w:left="980" w:header="850" w:footer="992" w:gutter="0"/>
          <w:cols w:space="720" w:num="1"/>
        </w:sectPr>
      </w:pPr>
    </w:p>
    <w:p>
      <w:pPr>
        <w:pStyle w:val="6"/>
        <w:keepNext w:val="0"/>
        <w:keepLines w:val="0"/>
        <w:spacing w:before="136" w:after="0"/>
        <w:ind w:left="662"/>
        <w:rPr>
          <w:rFonts w:ascii="微软雅黑" w:hAnsi="微软雅黑" w:eastAsia="微软雅黑" w:cs="微软雅黑"/>
          <w:b/>
          <w:bCs/>
          <w:color w:val="auto"/>
          <w:sz w:val="28"/>
          <w:szCs w:val="28"/>
          <w:highlight w:val="none"/>
          <w:lang w:eastAsia="zh-CN"/>
        </w:rPr>
      </w:pPr>
      <w:r>
        <w:rPr>
          <w:rFonts w:ascii="微软雅黑" w:hAnsi="微软雅黑" w:eastAsia="微软雅黑" w:cs="微软雅黑"/>
          <w:b/>
          <w:bCs/>
          <w:color w:val="auto"/>
          <w:sz w:val="28"/>
          <w:szCs w:val="28"/>
          <w:highlight w:val="none"/>
          <w:lang w:eastAsia="zh-CN"/>
        </w:rPr>
        <w:t>（三）技术标准</w:t>
      </w:r>
    </w:p>
    <w:p>
      <w:pPr>
        <w:pStyle w:val="39"/>
        <w:tabs>
          <w:tab w:val="left" w:pos="1079"/>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1.</w:t>
      </w:r>
      <w:r>
        <w:rPr>
          <w:spacing w:val="-3"/>
          <w:sz w:val="28"/>
          <w:highlight w:val="none"/>
          <w:lang w:eastAsia="zh-CN"/>
        </w:rPr>
        <w:t>《镇规划标准》（GB50188-2007）；</w:t>
      </w:r>
    </w:p>
    <w:p>
      <w:pPr>
        <w:pStyle w:val="39"/>
        <w:tabs>
          <w:tab w:val="left" w:pos="1079"/>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2</w:t>
      </w:r>
      <w:r>
        <w:rPr>
          <w:rFonts w:hint="eastAsia"/>
          <w:spacing w:val="-3"/>
          <w:sz w:val="28"/>
          <w:highlight w:val="none"/>
          <w:lang w:val="en-US" w:eastAsia="zh-CN"/>
        </w:rPr>
        <w:t>.</w:t>
      </w:r>
      <w:r>
        <w:rPr>
          <w:spacing w:val="-3"/>
          <w:sz w:val="28"/>
          <w:highlight w:val="none"/>
          <w:lang w:eastAsia="zh-CN"/>
        </w:rPr>
        <w:t>《防洪标准》（GB50201-2014）；</w:t>
      </w:r>
    </w:p>
    <w:p>
      <w:pPr>
        <w:pStyle w:val="39"/>
        <w:tabs>
          <w:tab w:val="left" w:pos="1079"/>
          <w:tab w:val="left" w:pos="1080"/>
        </w:tabs>
        <w:spacing w:line="360" w:lineRule="auto"/>
        <w:ind w:left="658"/>
        <w:contextualSpacing w:val="0"/>
        <w:rPr>
          <w:sz w:val="28"/>
          <w:highlight w:val="none"/>
          <w:lang w:eastAsia="zh-CN"/>
        </w:rPr>
      </w:pPr>
      <w:r>
        <w:rPr>
          <w:rFonts w:hint="eastAsia"/>
          <w:spacing w:val="-3"/>
          <w:sz w:val="28"/>
          <w:highlight w:val="none"/>
          <w:lang w:eastAsia="zh-CN"/>
        </w:rPr>
        <w:t>3.</w:t>
      </w:r>
      <w:r>
        <w:rPr>
          <w:spacing w:val="-3"/>
          <w:sz w:val="28"/>
          <w:highlight w:val="none"/>
          <w:lang w:eastAsia="zh-CN"/>
        </w:rPr>
        <w:t>《国土空间调查、规划、用途管制用地用海分类指南》；</w:t>
      </w:r>
    </w:p>
    <w:p>
      <w:pPr>
        <w:pStyle w:val="39"/>
        <w:tabs>
          <w:tab w:val="left" w:pos="1079"/>
          <w:tab w:val="left" w:pos="1080"/>
        </w:tabs>
        <w:spacing w:line="360" w:lineRule="auto"/>
        <w:ind w:left="658"/>
        <w:contextualSpacing w:val="0"/>
        <w:rPr>
          <w:sz w:val="28"/>
          <w:highlight w:val="none"/>
          <w:lang w:eastAsia="zh-CN"/>
        </w:rPr>
      </w:pPr>
      <w:r>
        <w:rPr>
          <w:rFonts w:hint="eastAsia"/>
          <w:sz w:val="28"/>
          <w:highlight w:val="none"/>
          <w:lang w:eastAsia="zh-CN"/>
        </w:rPr>
        <w:t>4.</w:t>
      </w:r>
      <w:r>
        <w:rPr>
          <w:sz w:val="28"/>
          <w:highlight w:val="none"/>
          <w:lang w:eastAsia="zh-CN"/>
        </w:rPr>
        <w:t>《社区</w:t>
      </w:r>
      <w:r>
        <w:rPr>
          <w:spacing w:val="-3"/>
          <w:sz w:val="28"/>
          <w:highlight w:val="none"/>
          <w:lang w:eastAsia="zh-CN"/>
        </w:rPr>
        <w:t>生</w:t>
      </w:r>
      <w:r>
        <w:rPr>
          <w:sz w:val="28"/>
          <w:highlight w:val="none"/>
          <w:lang w:eastAsia="zh-CN"/>
        </w:rPr>
        <w:t>活圈</w:t>
      </w:r>
      <w:r>
        <w:rPr>
          <w:spacing w:val="-3"/>
          <w:sz w:val="28"/>
          <w:highlight w:val="none"/>
          <w:lang w:eastAsia="zh-CN"/>
        </w:rPr>
        <w:t>规划</w:t>
      </w:r>
      <w:r>
        <w:rPr>
          <w:sz w:val="28"/>
          <w:highlight w:val="none"/>
          <w:lang w:eastAsia="zh-CN"/>
        </w:rPr>
        <w:t>技术指</w:t>
      </w:r>
      <w:r>
        <w:rPr>
          <w:spacing w:val="-3"/>
          <w:sz w:val="28"/>
          <w:highlight w:val="none"/>
          <w:lang w:eastAsia="zh-CN"/>
        </w:rPr>
        <w:t>南</w:t>
      </w:r>
      <w:r>
        <w:rPr>
          <w:sz w:val="28"/>
          <w:highlight w:val="none"/>
          <w:lang w:eastAsia="zh-CN"/>
        </w:rPr>
        <w:t>》（</w:t>
      </w:r>
      <w:r>
        <w:rPr>
          <w:rFonts w:ascii="Times New Roman" w:eastAsia="Times New Roman"/>
          <w:sz w:val="28"/>
          <w:highlight w:val="none"/>
          <w:lang w:eastAsia="zh-CN"/>
        </w:rPr>
        <w:t>TD/T1062-2021</w:t>
      </w:r>
      <w:r>
        <w:rPr>
          <w:sz w:val="28"/>
          <w:highlight w:val="none"/>
          <w:lang w:eastAsia="zh-CN"/>
        </w:rPr>
        <w:t>）；</w:t>
      </w:r>
    </w:p>
    <w:p>
      <w:pPr>
        <w:pStyle w:val="39"/>
        <w:tabs>
          <w:tab w:val="left" w:pos="1079"/>
          <w:tab w:val="left" w:pos="1080"/>
        </w:tabs>
        <w:spacing w:line="360" w:lineRule="auto"/>
        <w:ind w:left="658"/>
        <w:contextualSpacing w:val="0"/>
        <w:rPr>
          <w:sz w:val="28"/>
          <w:highlight w:val="none"/>
          <w:lang w:eastAsia="zh-CN"/>
        </w:rPr>
      </w:pPr>
      <w:r>
        <w:rPr>
          <w:rFonts w:hint="eastAsia"/>
          <w:sz w:val="28"/>
          <w:highlight w:val="none"/>
          <w:lang w:eastAsia="zh-CN"/>
        </w:rPr>
        <w:t>5.</w:t>
      </w:r>
      <w:r>
        <w:rPr>
          <w:sz w:val="28"/>
          <w:highlight w:val="none"/>
          <w:lang w:eastAsia="zh-CN"/>
        </w:rPr>
        <w:t>《民用</w:t>
      </w:r>
      <w:r>
        <w:rPr>
          <w:spacing w:val="-3"/>
          <w:sz w:val="28"/>
          <w:highlight w:val="none"/>
          <w:lang w:eastAsia="zh-CN"/>
        </w:rPr>
        <w:t>建</w:t>
      </w:r>
      <w:r>
        <w:rPr>
          <w:sz w:val="28"/>
          <w:highlight w:val="none"/>
          <w:lang w:eastAsia="zh-CN"/>
        </w:rPr>
        <w:t>筑通</w:t>
      </w:r>
      <w:r>
        <w:rPr>
          <w:spacing w:val="-3"/>
          <w:sz w:val="28"/>
          <w:highlight w:val="none"/>
          <w:lang w:eastAsia="zh-CN"/>
        </w:rPr>
        <w:t>用规</w:t>
      </w:r>
      <w:r>
        <w:rPr>
          <w:sz w:val="28"/>
          <w:highlight w:val="none"/>
          <w:lang w:eastAsia="zh-CN"/>
        </w:rPr>
        <w:t>范》（</w:t>
      </w:r>
      <w:r>
        <w:rPr>
          <w:rFonts w:ascii="Times New Roman" w:eastAsia="Times New Roman"/>
          <w:sz w:val="28"/>
          <w:highlight w:val="none"/>
          <w:lang w:eastAsia="zh-CN"/>
        </w:rPr>
        <w:t>GB55031-2022</w:t>
      </w:r>
      <w:r>
        <w:rPr>
          <w:sz w:val="28"/>
          <w:highlight w:val="none"/>
          <w:lang w:eastAsia="zh-CN"/>
        </w:rPr>
        <w:t>）；</w:t>
      </w:r>
    </w:p>
    <w:p>
      <w:pPr>
        <w:pStyle w:val="39"/>
        <w:tabs>
          <w:tab w:val="left" w:pos="1079"/>
          <w:tab w:val="left" w:pos="1080"/>
        </w:tabs>
        <w:spacing w:line="360" w:lineRule="auto"/>
        <w:ind w:left="658"/>
        <w:contextualSpacing w:val="0"/>
        <w:rPr>
          <w:sz w:val="28"/>
          <w:highlight w:val="none"/>
          <w:lang w:eastAsia="zh-CN"/>
        </w:rPr>
      </w:pPr>
      <w:r>
        <w:rPr>
          <w:rFonts w:hint="eastAsia"/>
          <w:sz w:val="28"/>
          <w:highlight w:val="none"/>
          <w:lang w:eastAsia="zh-CN"/>
        </w:rPr>
        <w:t>6.《建筑设计防火规范》（</w:t>
      </w:r>
      <w:r>
        <w:rPr>
          <w:rFonts w:hint="default" w:ascii="Times New Roman" w:eastAsia="Times New Roman"/>
          <w:sz w:val="28"/>
          <w:highlight w:val="none"/>
          <w:lang w:eastAsia="zh-CN"/>
        </w:rPr>
        <w:t>GB50016-2014</w:t>
      </w:r>
      <w:r>
        <w:rPr>
          <w:rFonts w:hint="eastAsia"/>
          <w:sz w:val="28"/>
          <w:highlight w:val="none"/>
          <w:lang w:eastAsia="zh-CN"/>
        </w:rPr>
        <w:t>）（</w:t>
      </w:r>
      <w:r>
        <w:rPr>
          <w:rFonts w:hint="default" w:ascii="Times New Roman" w:eastAsia="Times New Roman"/>
          <w:sz w:val="28"/>
          <w:highlight w:val="none"/>
          <w:lang w:eastAsia="zh-CN"/>
        </w:rPr>
        <w:t>2018</w:t>
      </w:r>
      <w:r>
        <w:rPr>
          <w:rFonts w:hint="eastAsia"/>
          <w:sz w:val="28"/>
          <w:highlight w:val="none"/>
          <w:lang w:eastAsia="zh-CN"/>
        </w:rPr>
        <w:t>版）；</w:t>
      </w:r>
    </w:p>
    <w:p>
      <w:pPr>
        <w:pStyle w:val="12"/>
        <w:tabs>
          <w:tab w:val="left" w:pos="1079"/>
        </w:tabs>
        <w:spacing w:line="360" w:lineRule="auto"/>
        <w:ind w:left="658"/>
        <w:rPr>
          <w:highlight w:val="none"/>
          <w:lang w:eastAsia="zh-CN"/>
        </w:rPr>
      </w:pPr>
      <w:r>
        <w:rPr>
          <w:rFonts w:ascii="Times New Roman" w:eastAsia="Times New Roman"/>
          <w:highlight w:val="none"/>
          <w:lang w:eastAsia="zh-CN"/>
        </w:rPr>
        <w:t>7.</w:t>
      </w:r>
      <w:r>
        <w:rPr>
          <w:highlight w:val="none"/>
          <w:lang w:eastAsia="zh-CN"/>
        </w:rPr>
        <w:t>《民用</w:t>
      </w:r>
      <w:r>
        <w:rPr>
          <w:spacing w:val="-3"/>
          <w:highlight w:val="none"/>
          <w:lang w:eastAsia="zh-CN"/>
        </w:rPr>
        <w:t>建</w:t>
      </w:r>
      <w:r>
        <w:rPr>
          <w:highlight w:val="none"/>
          <w:lang w:eastAsia="zh-CN"/>
        </w:rPr>
        <w:t>筑设</w:t>
      </w:r>
      <w:r>
        <w:rPr>
          <w:spacing w:val="-3"/>
          <w:highlight w:val="none"/>
          <w:lang w:eastAsia="zh-CN"/>
        </w:rPr>
        <w:t>计统</w:t>
      </w:r>
      <w:r>
        <w:rPr>
          <w:highlight w:val="none"/>
          <w:lang w:eastAsia="zh-CN"/>
        </w:rPr>
        <w:t>一标准》（</w:t>
      </w:r>
      <w:r>
        <w:rPr>
          <w:rFonts w:ascii="Times New Roman" w:eastAsia="Times New Roman"/>
          <w:highlight w:val="none"/>
          <w:lang w:eastAsia="zh-CN"/>
        </w:rPr>
        <w:t>GB50352-2019</w:t>
      </w:r>
      <w:r>
        <w:rPr>
          <w:highlight w:val="none"/>
          <w:lang w:eastAsia="zh-CN"/>
        </w:rPr>
        <w:t>）；</w:t>
      </w:r>
    </w:p>
    <w:p>
      <w:pPr>
        <w:pStyle w:val="12"/>
        <w:tabs>
          <w:tab w:val="left" w:pos="1079"/>
        </w:tabs>
        <w:spacing w:line="360" w:lineRule="auto"/>
        <w:ind w:left="658"/>
        <w:rPr>
          <w:highlight w:val="none"/>
          <w:lang w:eastAsia="zh-CN"/>
        </w:rPr>
      </w:pPr>
      <w:r>
        <w:rPr>
          <w:rFonts w:ascii="Times New Roman" w:eastAsia="Times New Roman"/>
          <w:highlight w:val="none"/>
          <w:lang w:eastAsia="zh-CN"/>
        </w:rPr>
        <w:t>8.</w:t>
      </w:r>
      <w:r>
        <w:rPr>
          <w:highlight w:val="none"/>
          <w:lang w:eastAsia="zh-CN"/>
        </w:rPr>
        <w:t>《农村</w:t>
      </w:r>
      <w:r>
        <w:rPr>
          <w:spacing w:val="-3"/>
          <w:highlight w:val="none"/>
          <w:lang w:eastAsia="zh-CN"/>
        </w:rPr>
        <w:t>防</w:t>
      </w:r>
      <w:r>
        <w:rPr>
          <w:highlight w:val="none"/>
          <w:lang w:eastAsia="zh-CN"/>
        </w:rPr>
        <w:t>火规</w:t>
      </w:r>
      <w:r>
        <w:rPr>
          <w:spacing w:val="-3"/>
          <w:highlight w:val="none"/>
          <w:lang w:eastAsia="zh-CN"/>
        </w:rPr>
        <w:t>范</w:t>
      </w:r>
      <w:r>
        <w:rPr>
          <w:highlight w:val="none"/>
          <w:lang w:eastAsia="zh-CN"/>
        </w:rPr>
        <w:t>》（</w:t>
      </w:r>
      <w:r>
        <w:rPr>
          <w:rFonts w:ascii="Times New Roman" w:eastAsia="Times New Roman"/>
          <w:highlight w:val="none"/>
          <w:lang w:eastAsia="zh-CN"/>
        </w:rPr>
        <w:t>GB50039-2010</w:t>
      </w:r>
      <w:r>
        <w:rPr>
          <w:highlight w:val="none"/>
          <w:lang w:eastAsia="zh-CN"/>
        </w:rPr>
        <w:t>）；</w:t>
      </w:r>
    </w:p>
    <w:p>
      <w:pPr>
        <w:pStyle w:val="12"/>
        <w:tabs>
          <w:tab w:val="left" w:pos="1079"/>
        </w:tabs>
        <w:spacing w:line="360" w:lineRule="auto"/>
        <w:ind w:left="658"/>
        <w:jc w:val="both"/>
        <w:rPr>
          <w:rFonts w:ascii="Times New Roman" w:eastAsia="Times New Roman"/>
          <w:highlight w:val="none"/>
          <w:lang w:eastAsia="zh-CN"/>
        </w:rPr>
      </w:pPr>
      <w:r>
        <w:rPr>
          <w:rFonts w:hint="eastAsia" w:ascii="Times New Roman" w:eastAsia="Times New Roman"/>
          <w:highlight w:val="none"/>
          <w:lang w:eastAsia="zh-CN"/>
        </w:rPr>
        <w:t>9.</w:t>
      </w:r>
      <w:r>
        <w:rPr>
          <w:highlight w:val="none"/>
          <w:lang w:eastAsia="zh-CN"/>
        </w:rPr>
        <w:t>《土壤环境质量建设用地土壤污染风险管控</w:t>
      </w:r>
      <w:r>
        <w:rPr>
          <w:rFonts w:hint="eastAsia"/>
          <w:highlight w:val="none"/>
          <w:lang w:eastAsia="zh-CN"/>
        </w:rPr>
        <w:t>标准</w:t>
      </w:r>
      <w:r>
        <w:rPr>
          <w:highlight w:val="none"/>
          <w:lang w:eastAsia="zh-CN"/>
        </w:rPr>
        <w:t>（试行）》（</w:t>
      </w:r>
      <w:r>
        <w:rPr>
          <w:rFonts w:ascii="Times New Roman" w:eastAsia="Times New Roman"/>
          <w:highlight w:val="none"/>
          <w:lang w:eastAsia="zh-CN"/>
        </w:rPr>
        <w:t>GB36600-2018</w:t>
      </w:r>
      <w:r>
        <w:rPr>
          <w:highlight w:val="none"/>
          <w:lang w:eastAsia="zh-CN"/>
        </w:rPr>
        <w:t>）；</w:t>
      </w:r>
    </w:p>
    <w:p>
      <w:pPr>
        <w:pStyle w:val="12"/>
        <w:tabs>
          <w:tab w:val="left" w:pos="1079"/>
        </w:tabs>
        <w:spacing w:line="360" w:lineRule="auto"/>
        <w:ind w:left="658"/>
        <w:rPr>
          <w:highlight w:val="none"/>
          <w:lang w:eastAsia="zh-CN"/>
        </w:rPr>
      </w:pPr>
      <w:r>
        <w:rPr>
          <w:rFonts w:hint="eastAsia" w:ascii="Times New Roman" w:eastAsia="Times New Roman"/>
          <w:highlight w:val="none"/>
          <w:lang w:eastAsia="zh-CN"/>
        </w:rPr>
        <w:t>10.</w:t>
      </w:r>
      <w:r>
        <w:rPr>
          <w:rFonts w:hint="eastAsia"/>
          <w:highlight w:val="none"/>
          <w:lang w:eastAsia="zh-CN"/>
        </w:rPr>
        <w:t>《土壤环境质量农用地土壤污染风险管控标准（试行）》（</w:t>
      </w:r>
      <w:r>
        <w:rPr>
          <w:rFonts w:hint="default" w:ascii="Times New Roman" w:eastAsia="Times New Roman"/>
          <w:highlight w:val="none"/>
          <w:lang w:eastAsia="zh-CN"/>
        </w:rPr>
        <w:t>GB15618-2018</w:t>
      </w:r>
      <w:r>
        <w:rPr>
          <w:rFonts w:hint="eastAsia"/>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11.</w:t>
      </w:r>
      <w:r>
        <w:rPr>
          <w:spacing w:val="-3"/>
          <w:sz w:val="28"/>
          <w:highlight w:val="none"/>
          <w:lang w:eastAsia="zh-CN"/>
        </w:rPr>
        <w:t>《生活饮用水卫生标准》</w:t>
      </w:r>
      <w:r>
        <w:rPr>
          <w:sz w:val="28"/>
          <w:highlight w:val="none"/>
          <w:lang w:eastAsia="zh-CN"/>
        </w:rPr>
        <w:t>（</w:t>
      </w:r>
      <w:r>
        <w:rPr>
          <w:rFonts w:ascii="Times New Roman" w:eastAsia="Times New Roman"/>
          <w:sz w:val="28"/>
          <w:highlight w:val="none"/>
          <w:lang w:eastAsia="zh-CN"/>
        </w:rPr>
        <w:t>GB85749-2006</w:t>
      </w:r>
      <w:r>
        <w:rPr>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12.</w:t>
      </w:r>
      <w:r>
        <w:rPr>
          <w:spacing w:val="-3"/>
          <w:sz w:val="28"/>
          <w:highlight w:val="none"/>
          <w:lang w:eastAsia="zh-CN"/>
        </w:rPr>
        <w:t>《分散式饮用水水源地环境保护指南</w:t>
      </w:r>
      <w:r>
        <w:rPr>
          <w:sz w:val="28"/>
          <w:highlight w:val="none"/>
          <w:lang w:eastAsia="zh-CN"/>
        </w:rPr>
        <w:t>（试行</w:t>
      </w:r>
      <w:r>
        <w:rPr>
          <w:spacing w:val="-3"/>
          <w:sz w:val="28"/>
          <w:highlight w:val="none"/>
          <w:lang w:eastAsia="zh-CN"/>
        </w:rPr>
        <w:t>）</w:t>
      </w:r>
      <w:r>
        <w:rPr>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13.</w:t>
      </w:r>
      <w:r>
        <w:rPr>
          <w:spacing w:val="-3"/>
          <w:sz w:val="28"/>
          <w:highlight w:val="none"/>
          <w:lang w:eastAsia="zh-CN"/>
        </w:rPr>
        <w:t>《农村生活污水处理工程技术标准》</w:t>
      </w:r>
      <w:r>
        <w:rPr>
          <w:sz w:val="28"/>
          <w:highlight w:val="none"/>
          <w:lang w:eastAsia="zh-CN"/>
        </w:rPr>
        <w:t>（</w:t>
      </w:r>
      <w:r>
        <w:rPr>
          <w:rFonts w:ascii="Times New Roman" w:eastAsia="Times New Roman"/>
          <w:sz w:val="28"/>
          <w:highlight w:val="none"/>
          <w:lang w:eastAsia="zh-CN"/>
        </w:rPr>
        <w:t>GB/T51347-2019</w:t>
      </w:r>
      <w:r>
        <w:rPr>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14.</w:t>
      </w:r>
      <w:r>
        <w:rPr>
          <w:spacing w:val="-3"/>
          <w:sz w:val="28"/>
          <w:highlight w:val="none"/>
          <w:lang w:eastAsia="zh-CN"/>
        </w:rPr>
        <w:t>《农村公共厕所建设与管理规范》</w:t>
      </w:r>
      <w:r>
        <w:rPr>
          <w:sz w:val="28"/>
          <w:highlight w:val="none"/>
          <w:lang w:eastAsia="zh-CN"/>
        </w:rPr>
        <w:t>（</w:t>
      </w:r>
      <w:r>
        <w:rPr>
          <w:rFonts w:ascii="Times New Roman" w:eastAsia="Times New Roman"/>
          <w:sz w:val="28"/>
          <w:highlight w:val="none"/>
          <w:lang w:eastAsia="zh-CN"/>
        </w:rPr>
        <w:t>GB/T38353-2019</w:t>
      </w:r>
      <w:r>
        <w:rPr>
          <w:sz w:val="28"/>
          <w:highlight w:val="none"/>
          <w:lang w:eastAsia="zh-CN"/>
        </w:rPr>
        <w:t>）；</w:t>
      </w:r>
    </w:p>
    <w:p>
      <w:pPr>
        <w:pStyle w:val="12"/>
        <w:spacing w:line="360" w:lineRule="auto"/>
        <w:ind w:left="658"/>
        <w:rPr>
          <w:highlight w:val="none"/>
          <w:lang w:eastAsia="zh-CN"/>
        </w:rPr>
      </w:pPr>
      <w:r>
        <w:rPr>
          <w:rFonts w:hint="eastAsia"/>
          <w:highlight w:val="none"/>
          <w:lang w:eastAsia="zh-CN"/>
        </w:rPr>
        <w:t>15.</w:t>
      </w:r>
      <w:r>
        <w:rPr>
          <w:highlight w:val="none"/>
          <w:lang w:eastAsia="zh-CN"/>
        </w:rPr>
        <w:t>《中小学校设计规范》（</w:t>
      </w:r>
      <w:r>
        <w:rPr>
          <w:rFonts w:ascii="Times New Roman" w:eastAsia="Times New Roman"/>
          <w:highlight w:val="none"/>
          <w:lang w:eastAsia="zh-CN"/>
        </w:rPr>
        <w:t>GB50099-2011</w:t>
      </w:r>
      <w:r>
        <w:rPr>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16.</w:t>
      </w:r>
      <w:r>
        <w:rPr>
          <w:spacing w:val="-3"/>
          <w:sz w:val="28"/>
          <w:highlight w:val="none"/>
          <w:lang w:eastAsia="zh-CN"/>
        </w:rPr>
        <w:t>《农村普通中小学校建设标准》（</w:t>
      </w:r>
      <w:r>
        <w:rPr>
          <w:spacing w:val="-25"/>
          <w:sz w:val="28"/>
          <w:highlight w:val="none"/>
          <w:lang w:eastAsia="zh-CN"/>
        </w:rPr>
        <w:t>建标</w:t>
      </w:r>
      <w:r>
        <w:rPr>
          <w:rFonts w:ascii="Times New Roman" w:eastAsia="Times New Roman"/>
          <w:sz w:val="28"/>
          <w:highlight w:val="none"/>
          <w:lang w:eastAsia="zh-CN"/>
        </w:rPr>
        <w:t>109-2008</w:t>
      </w:r>
      <w:r>
        <w:rPr>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17.</w:t>
      </w:r>
      <w:r>
        <w:rPr>
          <w:spacing w:val="-3"/>
          <w:sz w:val="28"/>
          <w:highlight w:val="none"/>
          <w:lang w:eastAsia="zh-CN"/>
        </w:rPr>
        <w:t>《托儿所、幼儿园建筑设计规范》</w:t>
      </w:r>
      <w:r>
        <w:rPr>
          <w:sz w:val="28"/>
          <w:highlight w:val="none"/>
          <w:lang w:eastAsia="zh-CN"/>
        </w:rPr>
        <w:t>（</w:t>
      </w:r>
      <w:r>
        <w:rPr>
          <w:rFonts w:ascii="Times New Roman" w:eastAsia="Times New Roman"/>
          <w:sz w:val="28"/>
          <w:highlight w:val="none"/>
          <w:lang w:eastAsia="zh-CN"/>
        </w:rPr>
        <w:t>JGJ39-2016</w:t>
      </w:r>
      <w:r>
        <w:rPr>
          <w:sz w:val="28"/>
          <w:highlight w:val="none"/>
          <w:lang w:eastAsia="zh-CN"/>
        </w:rPr>
        <w:t>）（</w:t>
      </w:r>
      <w:r>
        <w:rPr>
          <w:rFonts w:ascii="Times New Roman" w:eastAsia="Times New Roman"/>
          <w:sz w:val="28"/>
          <w:highlight w:val="none"/>
          <w:lang w:eastAsia="zh-CN"/>
        </w:rPr>
        <w:t>2019</w:t>
      </w:r>
      <w:r>
        <w:rPr>
          <w:sz w:val="28"/>
          <w:highlight w:val="none"/>
          <w:lang w:eastAsia="zh-CN"/>
        </w:rPr>
        <w:t>年版</w:t>
      </w:r>
      <w:r>
        <w:rPr>
          <w:spacing w:val="-3"/>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18.</w:t>
      </w:r>
      <w:r>
        <w:rPr>
          <w:spacing w:val="-3"/>
          <w:sz w:val="28"/>
          <w:highlight w:val="none"/>
          <w:lang w:eastAsia="zh-CN"/>
        </w:rPr>
        <w:t>《幼儿园建设标准》</w:t>
      </w:r>
      <w:r>
        <w:rPr>
          <w:sz w:val="28"/>
          <w:highlight w:val="none"/>
          <w:lang w:eastAsia="zh-CN"/>
        </w:rPr>
        <w:t>（</w:t>
      </w:r>
      <w:r>
        <w:rPr>
          <w:spacing w:val="-25"/>
          <w:sz w:val="28"/>
          <w:highlight w:val="none"/>
          <w:lang w:eastAsia="zh-CN"/>
        </w:rPr>
        <w:t>建标</w:t>
      </w:r>
      <w:r>
        <w:rPr>
          <w:rFonts w:ascii="Times New Roman" w:eastAsia="Times New Roman"/>
          <w:sz w:val="28"/>
          <w:highlight w:val="none"/>
          <w:lang w:eastAsia="zh-CN"/>
        </w:rPr>
        <w:t>175-2016</w:t>
      </w:r>
      <w:r>
        <w:rPr>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19.</w:t>
      </w:r>
      <w:r>
        <w:rPr>
          <w:spacing w:val="-3"/>
          <w:sz w:val="28"/>
          <w:highlight w:val="none"/>
          <w:lang w:eastAsia="zh-CN"/>
        </w:rPr>
        <w:t>《汽车加油加气加氢站技术标准》</w:t>
      </w:r>
      <w:r>
        <w:rPr>
          <w:sz w:val="28"/>
          <w:highlight w:val="none"/>
          <w:lang w:eastAsia="zh-CN"/>
        </w:rPr>
        <w:t>（</w:t>
      </w:r>
      <w:r>
        <w:rPr>
          <w:rFonts w:ascii="Times New Roman" w:eastAsia="Times New Roman"/>
          <w:sz w:val="28"/>
          <w:highlight w:val="none"/>
          <w:lang w:eastAsia="zh-CN"/>
        </w:rPr>
        <w:t>GB50156-2021</w:t>
      </w:r>
      <w:r>
        <w:rPr>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20.</w:t>
      </w:r>
      <w:r>
        <w:rPr>
          <w:spacing w:val="-3"/>
          <w:sz w:val="28"/>
          <w:highlight w:val="none"/>
          <w:lang w:eastAsia="zh-CN"/>
        </w:rPr>
        <w:t>《广西壮族自治区乡镇级国土空间规划编制技术指南（</w:t>
      </w:r>
      <w:r>
        <w:rPr>
          <w:sz w:val="28"/>
          <w:highlight w:val="none"/>
          <w:lang w:eastAsia="zh-CN"/>
        </w:rPr>
        <w:t>试行）</w:t>
      </w:r>
      <w:r>
        <w:rPr>
          <w:spacing w:val="-2"/>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21.</w:t>
      </w:r>
      <w:r>
        <w:rPr>
          <w:spacing w:val="-3"/>
          <w:sz w:val="28"/>
          <w:highlight w:val="none"/>
          <w:lang w:eastAsia="zh-CN"/>
        </w:rPr>
        <w:t>《广西农村生活污水处理技术指南（</w:t>
      </w:r>
      <w:r>
        <w:rPr>
          <w:sz w:val="28"/>
          <w:highlight w:val="none"/>
          <w:lang w:eastAsia="zh-CN"/>
        </w:rPr>
        <w:t>试行）</w:t>
      </w:r>
      <w:r>
        <w:rPr>
          <w:spacing w:val="-2"/>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22.</w:t>
      </w:r>
      <w:r>
        <w:rPr>
          <w:spacing w:val="-3"/>
          <w:sz w:val="28"/>
          <w:highlight w:val="none"/>
          <w:lang w:eastAsia="zh-CN"/>
        </w:rPr>
        <w:t>《广西农村生活垃圾处理技术指引（</w:t>
      </w:r>
      <w:r>
        <w:rPr>
          <w:sz w:val="28"/>
          <w:highlight w:val="none"/>
          <w:lang w:eastAsia="zh-CN"/>
        </w:rPr>
        <w:t>试行）</w:t>
      </w:r>
      <w:r>
        <w:rPr>
          <w:spacing w:val="-2"/>
          <w:sz w:val="28"/>
          <w:highlight w:val="none"/>
          <w:lang w:eastAsia="zh-CN"/>
        </w:rPr>
        <w:t>》；</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23.</w:t>
      </w:r>
      <w:r>
        <w:rPr>
          <w:spacing w:val="-3"/>
          <w:sz w:val="28"/>
          <w:highlight w:val="none"/>
          <w:lang w:eastAsia="zh-CN"/>
        </w:rPr>
        <w:t>《广西农村公共服务中心建设工程指导手册》；</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24.</w:t>
      </w:r>
      <w:r>
        <w:rPr>
          <w:spacing w:val="-3"/>
          <w:sz w:val="28"/>
          <w:highlight w:val="none"/>
          <w:lang w:eastAsia="zh-CN"/>
        </w:rPr>
        <w:t>《广西社会主义新农村建设村庄整治技术导则》；</w:t>
      </w:r>
    </w:p>
    <w:p>
      <w:pPr>
        <w:pStyle w:val="39"/>
        <w:tabs>
          <w:tab w:val="left" w:pos="1080"/>
        </w:tabs>
        <w:spacing w:line="360" w:lineRule="auto"/>
        <w:ind w:left="658"/>
        <w:contextualSpacing w:val="0"/>
        <w:rPr>
          <w:sz w:val="28"/>
          <w:highlight w:val="none"/>
          <w:lang w:eastAsia="zh-CN"/>
        </w:rPr>
      </w:pPr>
      <w:r>
        <w:rPr>
          <w:rFonts w:hint="eastAsia"/>
          <w:spacing w:val="-3"/>
          <w:sz w:val="28"/>
          <w:highlight w:val="none"/>
          <w:lang w:eastAsia="zh-CN"/>
        </w:rPr>
        <w:t>25.</w:t>
      </w:r>
      <w:r>
        <w:rPr>
          <w:spacing w:val="-3"/>
          <w:sz w:val="28"/>
          <w:highlight w:val="none"/>
          <w:lang w:eastAsia="zh-CN"/>
        </w:rPr>
        <w:t>《广西壮族自治区农房特色风貌管控导则》</w:t>
      </w:r>
      <w:r>
        <w:rPr>
          <w:sz w:val="28"/>
          <w:highlight w:val="none"/>
          <w:lang w:eastAsia="zh-CN"/>
        </w:rPr>
        <w:t>（</w:t>
      </w:r>
      <w:r>
        <w:rPr>
          <w:rFonts w:ascii="Times New Roman" w:eastAsia="Times New Roman"/>
          <w:sz w:val="28"/>
          <w:highlight w:val="none"/>
          <w:lang w:eastAsia="zh-CN"/>
        </w:rPr>
        <w:t>2020</w:t>
      </w:r>
      <w:r>
        <w:rPr>
          <w:sz w:val="28"/>
          <w:highlight w:val="none"/>
          <w:lang w:eastAsia="zh-CN"/>
        </w:rPr>
        <w:t>年）；</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26.</w:t>
      </w:r>
      <w:r>
        <w:rPr>
          <w:spacing w:val="-3"/>
          <w:sz w:val="28"/>
          <w:highlight w:val="none"/>
          <w:lang w:eastAsia="zh-CN"/>
        </w:rPr>
        <w:t>《柳州市城乡规划管理技术规定》</w:t>
      </w:r>
      <w:r>
        <w:rPr>
          <w:rFonts w:hint="eastAsia"/>
          <w:spacing w:val="-3"/>
          <w:sz w:val="28"/>
          <w:highlight w:val="none"/>
          <w:lang w:eastAsia="zh-CN"/>
        </w:rPr>
        <w:t>；</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27.《柳州市农村农民建房“一件事”办事指南》。</w:t>
      </w:r>
    </w:p>
    <w:p>
      <w:pPr>
        <w:pStyle w:val="6"/>
        <w:keepNext w:val="0"/>
        <w:keepLines w:val="0"/>
        <w:spacing w:before="0" w:after="0" w:line="429" w:lineRule="exact"/>
        <w:ind w:left="662"/>
        <w:rPr>
          <w:rFonts w:ascii="微软雅黑" w:hAnsi="微软雅黑" w:eastAsia="微软雅黑" w:cs="微软雅黑"/>
          <w:b/>
          <w:bCs/>
          <w:color w:val="auto"/>
          <w:sz w:val="28"/>
          <w:szCs w:val="28"/>
          <w:highlight w:val="none"/>
          <w:lang w:eastAsia="zh-CN"/>
        </w:rPr>
      </w:pPr>
      <w:r>
        <w:rPr>
          <w:rFonts w:ascii="微软雅黑" w:hAnsi="微软雅黑" w:eastAsia="微软雅黑" w:cs="微软雅黑"/>
          <w:b/>
          <w:bCs/>
          <w:color w:val="auto"/>
          <w:sz w:val="28"/>
          <w:szCs w:val="28"/>
          <w:highlight w:val="none"/>
          <w:lang w:eastAsia="zh-CN"/>
        </w:rPr>
        <w:t>（四）相关规划</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1.《广西农村生活污水治理“十四五”规划》；</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2.《柳州市国土空间总体规划（2021—2035年）》；</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3.《柳州市水系景观和保护规划》；</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4.《柳州市农村自建房图集》；</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5.《柳州市重点流域水生态环境保护“十四五”规划》；</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6.《鱼峰区国民经济和社会发展第十四个五年规划及2035年远景目标纲要》；</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7.《柳州市鱼峰区水土保持规划</w:t>
      </w:r>
      <w:r>
        <w:rPr>
          <w:rFonts w:hint="eastAsia" w:ascii="Times New Roman" w:hAnsi="Times New Roman"/>
          <w:spacing w:val="0"/>
          <w:sz w:val="28"/>
          <w:highlight w:val="none"/>
          <w:lang w:eastAsia="zh-CN"/>
        </w:rPr>
        <w:t>2024-2030</w:t>
      </w:r>
      <w:r>
        <w:rPr>
          <w:rFonts w:hint="eastAsia"/>
          <w:spacing w:val="-3"/>
          <w:sz w:val="28"/>
          <w:highlight w:val="none"/>
          <w:lang w:eastAsia="zh-CN"/>
        </w:rPr>
        <w:t>》；</w:t>
      </w:r>
    </w:p>
    <w:p>
      <w:pPr>
        <w:pStyle w:val="39"/>
        <w:tabs>
          <w:tab w:val="left" w:pos="1080"/>
        </w:tabs>
        <w:spacing w:line="360" w:lineRule="auto"/>
        <w:ind w:left="658"/>
        <w:contextualSpacing w:val="0"/>
        <w:rPr>
          <w:spacing w:val="-3"/>
          <w:sz w:val="28"/>
          <w:highlight w:val="none"/>
          <w:lang w:eastAsia="zh-CN"/>
        </w:rPr>
      </w:pPr>
      <w:r>
        <w:rPr>
          <w:rFonts w:hint="eastAsia"/>
          <w:spacing w:val="-3"/>
          <w:sz w:val="28"/>
          <w:highlight w:val="none"/>
          <w:lang w:eastAsia="zh-CN"/>
        </w:rPr>
        <w:t>8.其他相关法律法规、政策文件、技术标准。</w:t>
      </w:r>
    </w:p>
    <w:p>
      <w:pPr>
        <w:rPr>
          <w:sz w:val="28"/>
          <w:highlight w:val="none"/>
          <w:lang w:eastAsia="zh-CN"/>
        </w:rPr>
        <w:sectPr>
          <w:pgSz w:w="11910" w:h="16840"/>
          <w:pgMar w:top="1480" w:right="680" w:bottom="880" w:left="980" w:header="850" w:footer="992" w:gutter="0"/>
          <w:cols w:space="720" w:num="1"/>
        </w:sectPr>
      </w:pPr>
    </w:p>
    <w:p>
      <w:pPr>
        <w:pStyle w:val="2"/>
        <w:jc w:val="center"/>
        <w:rPr>
          <w:rFonts w:ascii="微软雅黑" w:hAnsi="微软雅黑" w:eastAsia="微软雅黑" w:cs="微软雅黑"/>
          <w:b/>
          <w:bCs/>
          <w:color w:val="auto"/>
          <w:sz w:val="32"/>
          <w:szCs w:val="32"/>
          <w:highlight w:val="none"/>
          <w:lang w:eastAsia="zh-CN"/>
        </w:rPr>
      </w:pPr>
      <w:bookmarkStart w:id="46" w:name="_bookmark33"/>
      <w:bookmarkEnd w:id="46"/>
      <w:bookmarkStart w:id="47" w:name="_Toc30179"/>
      <w:r>
        <w:rPr>
          <w:rFonts w:hint="eastAsia" w:ascii="微软雅黑" w:hAnsi="微软雅黑" w:eastAsia="微软雅黑" w:cs="微软雅黑"/>
          <w:b/>
          <w:bCs/>
          <w:color w:val="auto"/>
          <w:sz w:val="32"/>
          <w:szCs w:val="32"/>
          <w:highlight w:val="none"/>
          <w:lang w:eastAsia="zh-CN"/>
        </w:rPr>
        <w:t>附</w:t>
      </w:r>
      <w:r>
        <w:rPr>
          <w:rFonts w:hint="eastAsia" w:ascii="微软雅黑" w:hAnsi="微软雅黑" w:eastAsia="微软雅黑" w:cs="微软雅黑"/>
          <w:b/>
          <w:bCs/>
          <w:color w:val="auto"/>
          <w:sz w:val="32"/>
          <w:szCs w:val="32"/>
          <w:highlight w:val="none"/>
          <w:lang w:val="en-US" w:eastAsia="zh-CN"/>
        </w:rPr>
        <w:t xml:space="preserve">  </w:t>
      </w:r>
      <w:r>
        <w:rPr>
          <w:rFonts w:hint="eastAsia" w:ascii="微软雅黑" w:hAnsi="微软雅黑" w:eastAsia="微软雅黑" w:cs="微软雅黑"/>
          <w:b/>
          <w:bCs/>
          <w:color w:val="auto"/>
          <w:sz w:val="32"/>
          <w:szCs w:val="32"/>
          <w:highlight w:val="none"/>
          <w:lang w:eastAsia="zh-CN"/>
        </w:rPr>
        <w:t>表</w:t>
      </w:r>
      <w:bookmarkEnd w:id="47"/>
    </w:p>
    <w:p>
      <w:pPr>
        <w:pStyle w:val="5"/>
        <w:keepNext w:val="0"/>
        <w:keepLines w:val="0"/>
        <w:spacing w:before="0" w:after="0"/>
        <w:ind w:right="298"/>
        <w:jc w:val="center"/>
        <w:rPr>
          <w:rFonts w:ascii="微软雅黑" w:hAnsi="微软雅黑" w:eastAsia="微软雅黑" w:cs="微软雅黑"/>
          <w:b/>
          <w:bCs/>
          <w:color w:val="auto"/>
          <w:highlight w:val="none"/>
          <w:lang w:eastAsia="zh-CN"/>
        </w:rPr>
      </w:pPr>
      <w:bookmarkStart w:id="48" w:name="_bookmark34"/>
      <w:bookmarkEnd w:id="48"/>
      <w:r>
        <w:rPr>
          <w:rFonts w:ascii="微软雅黑" w:hAnsi="微软雅黑" w:eastAsia="微软雅黑" w:cs="微软雅黑"/>
          <w:b/>
          <w:bCs/>
          <w:color w:val="auto"/>
          <w:highlight w:val="none"/>
          <w:lang w:eastAsia="zh-CN"/>
        </w:rPr>
        <w:t>附表一 村庄建设用地指标分解表</w:t>
      </w:r>
    </w:p>
    <w:p>
      <w:pPr>
        <w:pStyle w:val="12"/>
        <w:spacing w:before="8"/>
        <w:ind w:left="0"/>
        <w:rPr>
          <w:rFonts w:ascii="微软雅黑"/>
          <w:b/>
          <w:sz w:val="6"/>
          <w:highlight w:val="none"/>
          <w:lang w:eastAsia="zh-CN"/>
        </w:rPr>
      </w:pPr>
    </w:p>
    <w:p>
      <w:pPr>
        <w:numPr>
          <w:ilvl w:val="0"/>
          <w:numId w:val="0"/>
        </w:numPr>
        <w:spacing w:before="110"/>
        <w:rPr>
          <w:rFonts w:hint="default"/>
          <w:sz w:val="21"/>
          <w:highlight w:val="none"/>
          <w:lang w:val="en-US" w:eastAsia="zh-CN"/>
        </w:rPr>
      </w:pPr>
    </w:p>
    <w:p>
      <w:pPr>
        <w:rPr>
          <w:sz w:val="21"/>
          <w:highlight w:val="none"/>
          <w:lang w:eastAsia="zh-CN"/>
        </w:rPr>
        <w:sectPr>
          <w:pgSz w:w="11910" w:h="16840"/>
          <w:pgMar w:top="1420" w:right="680" w:bottom="800" w:left="980" w:header="850" w:footer="992" w:gutter="0"/>
          <w:cols w:space="720" w:num="1"/>
        </w:sectPr>
      </w:pPr>
    </w:p>
    <w:p>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49" w:name="_bookmark35"/>
      <w:bookmarkEnd w:id="49"/>
      <w:r>
        <w:rPr>
          <w:rFonts w:ascii="微软雅黑" w:hAnsi="微软雅黑" w:eastAsia="微软雅黑" w:cs="微软雅黑"/>
          <w:b/>
          <w:bCs/>
          <w:color w:val="auto"/>
          <w:sz w:val="30"/>
          <w:szCs w:val="30"/>
          <w:highlight w:val="none"/>
          <w:lang w:eastAsia="zh-CN"/>
        </w:rPr>
        <w:t>附表二 机动指标使用正面清单</w:t>
      </w:r>
    </w:p>
    <w:p>
      <w:pPr>
        <w:spacing w:before="219"/>
        <w:ind w:right="298"/>
        <w:jc w:val="center"/>
        <w:rPr>
          <w:sz w:val="24"/>
          <w:highlight w:val="none"/>
          <w:lang w:eastAsia="zh-CN"/>
        </w:rPr>
      </w:pPr>
      <w:r>
        <w:rPr>
          <w:highlight w:val="none"/>
        </w:rPr>
        <mc:AlternateContent>
          <mc:Choice Requires="wpg">
            <w:drawing>
              <wp:anchor distT="0" distB="0" distL="114300" distR="114300" simplePos="0" relativeHeight="251659264" behindDoc="1" locked="0" layoutInCell="1" allowOverlap="1">
                <wp:simplePos x="0" y="0"/>
                <wp:positionH relativeFrom="page">
                  <wp:posOffset>685800</wp:posOffset>
                </wp:positionH>
                <wp:positionV relativeFrom="paragraph">
                  <wp:posOffset>73660</wp:posOffset>
                </wp:positionV>
                <wp:extent cx="6190615" cy="6212840"/>
                <wp:effectExtent l="0" t="0" r="0" b="0"/>
                <wp:wrapNone/>
                <wp:docPr id="13" name="组合 3"/>
                <wp:cNvGraphicFramePr/>
                <a:graphic xmlns:a="http://schemas.openxmlformats.org/drawingml/2006/main">
                  <a:graphicData uri="http://schemas.microsoft.com/office/word/2010/wordprocessingGroup">
                    <wpg:wgp>
                      <wpg:cNvGrpSpPr/>
                      <wpg:grpSpPr>
                        <a:xfrm>
                          <a:off x="0" y="0"/>
                          <a:ext cx="6190615" cy="6212840"/>
                          <a:chOff x="1080" y="116"/>
                          <a:chExt cx="9749" cy="9784203"/>
                        </a:xfrm>
                      </wpg:grpSpPr>
                      <wps:wsp>
                        <wps:cNvPr id="3" name="Freeform 3"/>
                        <wps:cNvSpPr/>
                        <wps:spPr>
                          <a:xfrm>
                            <a:off x="1080" y="115"/>
                            <a:ext cx="10" cy="39"/>
                          </a:xfrm>
                          <a:custGeom>
                            <a:avLst/>
                            <a:gdLst>
                              <a:gd name="A1" fmla="val 0"/>
                              <a:gd name="A2" fmla="val 0"/>
                            </a:gdLst>
                            <a:ahLst/>
                            <a:cxnLst>
                              <a:cxn ang="0">
                                <a:pos x="10" y="116"/>
                              </a:cxn>
                              <a:cxn ang="0">
                                <a:pos x="0" y="116"/>
                              </a:cxn>
                              <a:cxn ang="0">
                                <a:pos x="0" y="125"/>
                              </a:cxn>
                              <a:cxn ang="0">
                                <a:pos x="0" y="154"/>
                              </a:cxn>
                              <a:cxn ang="0">
                                <a:pos x="10" y="154"/>
                              </a:cxn>
                              <a:cxn ang="0">
                                <a:pos x="10" y="125"/>
                              </a:cxn>
                              <a:cxn ang="0">
                                <a:pos x="10" y="116"/>
                              </a:cxn>
                            </a:cxnLst>
                            <a:pathLst>
                              <a:path w="10" h="39">
                                <a:moveTo>
                                  <a:pt x="10" y="0"/>
                                </a:moveTo>
                                <a:lnTo>
                                  <a:pt x="0" y="0"/>
                                </a:lnTo>
                                <a:lnTo>
                                  <a:pt x="0" y="9"/>
                                </a:lnTo>
                                <a:lnTo>
                                  <a:pt x="0" y="38"/>
                                </a:lnTo>
                                <a:lnTo>
                                  <a:pt x="10" y="38"/>
                                </a:lnTo>
                                <a:lnTo>
                                  <a:pt x="10" y="9"/>
                                </a:lnTo>
                                <a:lnTo>
                                  <a:pt x="10" y="0"/>
                                </a:lnTo>
                              </a:path>
                            </a:pathLst>
                          </a:custGeom>
                          <a:solidFill>
                            <a:srgbClr val="000000"/>
                          </a:solidFill>
                          <a:ln>
                            <a:noFill/>
                          </a:ln>
                        </wps:spPr>
                        <wps:bodyPr upright="1"/>
                      </wps:wsp>
                      <wps:wsp>
                        <wps:cNvPr id="4" name="Line 4"/>
                        <wps:cNvCnPr/>
                        <wps:spPr>
                          <a:xfrm>
                            <a:off x="1090" y="121"/>
                            <a:ext cx="9729" cy="0"/>
                          </a:xfrm>
                          <a:prstGeom prst="line">
                            <a:avLst/>
                          </a:prstGeom>
                          <a:ln w="6096" cap="flat" cmpd="sng">
                            <a:solidFill>
                              <a:srgbClr val="000000"/>
                            </a:solidFill>
                            <a:prstDash val="solid"/>
                            <a:headEnd type="none" w="med" len="med"/>
                            <a:tailEnd type="none" w="med" len="med"/>
                          </a:ln>
                        </wps:spPr>
                        <wps:bodyPr upright="1"/>
                      </wps:wsp>
                      <wps:wsp>
                        <wps:cNvPr id="5" name="Freeform 5"/>
                        <wps:cNvSpPr/>
                        <wps:spPr>
                          <a:xfrm>
                            <a:off x="10818" y="115"/>
                            <a:ext cx="10" cy="39"/>
                          </a:xfrm>
                          <a:custGeom>
                            <a:avLst/>
                            <a:gdLst>
                              <a:gd name="A1" fmla="val 0"/>
                              <a:gd name="A2" fmla="val 0"/>
                            </a:gdLst>
                            <a:ahLst/>
                            <a:cxnLst>
                              <a:cxn ang="0">
                                <a:pos x="9" y="116"/>
                              </a:cxn>
                              <a:cxn ang="0">
                                <a:pos x="0" y="116"/>
                              </a:cxn>
                              <a:cxn ang="0">
                                <a:pos x="0" y="125"/>
                              </a:cxn>
                              <a:cxn ang="0">
                                <a:pos x="0" y="154"/>
                              </a:cxn>
                              <a:cxn ang="0">
                                <a:pos x="9" y="154"/>
                              </a:cxn>
                              <a:cxn ang="0">
                                <a:pos x="9" y="125"/>
                              </a:cxn>
                              <a:cxn ang="0">
                                <a:pos x="9" y="116"/>
                              </a:cxn>
                            </a:cxnLst>
                            <a:pathLst>
                              <a:path w="10" h="39">
                                <a:moveTo>
                                  <a:pt x="9" y="0"/>
                                </a:moveTo>
                                <a:lnTo>
                                  <a:pt x="0" y="0"/>
                                </a:lnTo>
                                <a:lnTo>
                                  <a:pt x="0" y="9"/>
                                </a:lnTo>
                                <a:lnTo>
                                  <a:pt x="0" y="38"/>
                                </a:lnTo>
                                <a:lnTo>
                                  <a:pt x="9" y="38"/>
                                </a:lnTo>
                                <a:lnTo>
                                  <a:pt x="9" y="9"/>
                                </a:lnTo>
                                <a:lnTo>
                                  <a:pt x="9" y="0"/>
                                </a:lnTo>
                              </a:path>
                            </a:pathLst>
                          </a:custGeom>
                          <a:solidFill>
                            <a:srgbClr val="000000"/>
                          </a:solidFill>
                          <a:ln>
                            <a:noFill/>
                          </a:ln>
                        </wps:spPr>
                        <wps:bodyPr upright="1"/>
                      </wps:wsp>
                      <wps:wsp>
                        <wps:cNvPr id="6" name="Line 6"/>
                        <wps:cNvCnPr/>
                        <wps:spPr>
                          <a:xfrm>
                            <a:off x="1090" y="627"/>
                            <a:ext cx="9729" cy="0"/>
                          </a:xfrm>
                          <a:prstGeom prst="line">
                            <a:avLst/>
                          </a:prstGeom>
                          <a:ln w="6096" cap="flat" cmpd="sng">
                            <a:solidFill>
                              <a:srgbClr val="000000"/>
                            </a:solidFill>
                            <a:prstDash val="solid"/>
                            <a:headEnd type="none" w="med" len="med"/>
                            <a:tailEnd type="none" w="med" len="med"/>
                          </a:ln>
                        </wps:spPr>
                        <wps:bodyPr upright="1"/>
                      </wps:wsp>
                      <wps:wsp>
                        <wps:cNvPr id="7" name="Line 7"/>
                        <wps:cNvCnPr/>
                        <wps:spPr>
                          <a:xfrm>
                            <a:off x="1085" y="154"/>
                            <a:ext cx="0" cy="9736"/>
                          </a:xfrm>
                          <a:prstGeom prst="line">
                            <a:avLst/>
                          </a:prstGeom>
                          <a:ln w="6096" cap="flat" cmpd="sng">
                            <a:solidFill>
                              <a:srgbClr val="000000"/>
                            </a:solidFill>
                            <a:prstDash val="solid"/>
                            <a:headEnd type="none" w="med" len="med"/>
                            <a:tailEnd type="none" w="med" len="med"/>
                          </a:ln>
                        </wps:spPr>
                        <wps:bodyPr upright="1"/>
                      </wps:wsp>
                      <wps:wsp>
                        <wps:cNvPr id="8" name="Rectangle 8"/>
                        <wps:cNvSpPr/>
                        <wps:spPr>
                          <a:xfrm>
                            <a:off x="1080" y="9889"/>
                            <a:ext cx="10" cy="10"/>
                          </a:xfrm>
                          <a:prstGeom prst="rect">
                            <a:avLst/>
                          </a:prstGeom>
                          <a:solidFill>
                            <a:srgbClr val="000000"/>
                          </a:solidFill>
                          <a:ln>
                            <a:noFill/>
                          </a:ln>
                        </wps:spPr>
                        <wps:bodyPr upright="1"/>
                      </wps:wsp>
                      <wps:wsp>
                        <wps:cNvPr id="9" name="Line 9"/>
                        <wps:cNvCnPr/>
                        <wps:spPr>
                          <a:xfrm>
                            <a:off x="1090" y="9894"/>
                            <a:ext cx="9729" cy="0"/>
                          </a:xfrm>
                          <a:prstGeom prst="line">
                            <a:avLst/>
                          </a:prstGeom>
                          <a:ln w="6096" cap="flat" cmpd="sng">
                            <a:solidFill>
                              <a:srgbClr val="000000"/>
                            </a:solidFill>
                            <a:prstDash val="solid"/>
                            <a:headEnd type="none" w="med" len="med"/>
                            <a:tailEnd type="none" w="med" len="med"/>
                          </a:ln>
                        </wps:spPr>
                        <wps:bodyPr upright="1"/>
                      </wps:wsp>
                      <wps:wsp>
                        <wps:cNvPr id="10" name="Line 10"/>
                        <wps:cNvCnPr/>
                        <wps:spPr>
                          <a:xfrm>
                            <a:off x="10824" y="154"/>
                            <a:ext cx="0" cy="9736"/>
                          </a:xfrm>
                          <a:prstGeom prst="line">
                            <a:avLst/>
                          </a:prstGeom>
                          <a:ln w="6096" cap="flat" cmpd="sng">
                            <a:solidFill>
                              <a:srgbClr val="000000"/>
                            </a:solidFill>
                            <a:prstDash val="solid"/>
                            <a:headEnd type="none" w="med" len="med"/>
                            <a:tailEnd type="none" w="med" len="med"/>
                          </a:ln>
                        </wps:spPr>
                        <wps:bodyPr upright="1"/>
                      </wps:wsp>
                      <wps:wsp>
                        <wps:cNvPr id="12" name="Rectangle 11"/>
                        <wps:cNvSpPr/>
                        <wps:spPr>
                          <a:xfrm>
                            <a:off x="10818" y="9889"/>
                            <a:ext cx="10" cy="10"/>
                          </a:xfrm>
                          <a:prstGeom prst="rect">
                            <a:avLst/>
                          </a:prstGeom>
                          <a:solidFill>
                            <a:srgbClr val="000000"/>
                          </a:solidFill>
                          <a:ln>
                            <a:noFill/>
                          </a:ln>
                        </wps:spPr>
                        <wps:bodyPr upright="1"/>
                      </wps:wsp>
                    </wpg:wgp>
                  </a:graphicData>
                </a:graphic>
              </wp:anchor>
            </w:drawing>
          </mc:Choice>
          <mc:Fallback>
            <w:pict>
              <v:group id="组合 3" o:spid="_x0000_s1026" o:spt="203" style="position:absolute;left:0pt;margin-left:54pt;margin-top:5.8pt;height:489.2pt;width:487.45pt;mso-position-horizontal-relative:page;z-index:-251657216;mso-width-relative:page;mso-height-relative:page;" coordorigin="1080,116" coordsize="9749,9784203" o:gfxdata="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9gMbitoAAAALAQAADwAA&#10;AAAAAAABACAAAAAiAAAAZHJzL2Rvd25yZXYueG1sUEsBAhQAFAAAAAgAh07iQJgtqttOBAAAbxgA&#10;AA4AAAAAAAAAAQAgAAAAKQEAAGRycy9lMm9Eb2MueG1sUEsFBgAAAAAGAAYAWQEAAOkHAAAAAA==&#10;">
                <o:lock v:ext="edit" aspectratio="f"/>
                <v:shape id="Freeform 3" o:spid="_x0000_s1026" o:spt="100" style="position:absolute;left:1080;top:115;height:39;width:10;" fillcolor="#000000" filled="t" stroked="f" coordsize="10,39" o:gfxdata="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4jjb4A&#10;AADaAAAADwAAAAAAAAABACAAAAAiAAAAZHJzL2Rvd25yZXYueG1sUEsBAhQAFAAAAAgAh07iQDMv&#10;BZ47AAAAOQAAABAAAAAAAAAAAQAgAAAADQEAAGRycy9zaGFwZXhtbC54bWxQSwUGAAAAAAYABgBb&#10;AQAAtwMAAAAA&#10;" path="m10,0l0,0,0,9,0,38,10,38,10,9,10,0e">
                  <v:path o:connectlocs="10,116;0,116;0,125;0,154;10,154;10,125;10,116" o:connectangles="0,0,0,0,0,0,0"/>
                  <v:fill on="t" focussize="0,0"/>
                  <v:stroke on="f"/>
                  <v:imagedata o:title=""/>
                  <o:lock v:ext="edit" aspectratio="f"/>
                </v:shape>
                <v:line id="Line 4" o:spid="_x0000_s1026" o:spt="20" style="position:absolute;left:1090;top:121;height:0;width:9729;"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shape id="Freeform 5" o:spid="_x0000_s1026" o:spt="100" style="position:absolute;left:10818;top:115;height:39;width:10;" fillcolor="#000000" filled="t" stroked="f" coordsize="10,39" o:gfxdata="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seYr4A&#10;AADaAAAADwAAAAAAAAABACAAAAAiAAAAZHJzL2Rvd25yZXYueG1sUEsBAhQAFAAAAAgAh07iQDMv&#10;BZ47AAAAOQAAABAAAAAAAAAAAQAgAAAADQEAAGRycy9zaGFwZXhtbC54bWxQSwUGAAAAAAYABgBb&#10;AQAAtwMAAAAA&#10;" path="m9,0l0,0,0,9,0,38,9,38,9,9,9,0e">
                  <v:path o:connectlocs="9,116;0,116;0,125;0,154;9,154;9,125;9,116" o:connectangles="0,0,0,0,0,0,0"/>
                  <v:fill on="t" focussize="0,0"/>
                  <v:stroke on="f"/>
                  <v:imagedata o:title=""/>
                  <o:lock v:ext="edit" aspectratio="f"/>
                </v:shape>
                <v:line id="Line 6" o:spid="_x0000_s1026" o:spt="20" style="position:absolute;left:1090;top:627;height:0;width:9729;"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Line 7" o:spid="_x0000_s1026" o:spt="20" style="position:absolute;left:1085;top:154;height:9736;width:0;" filled="f" stroked="t" coordsize="21600,21600" o:gfxdata="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1fm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Rectangle 8" o:spid="_x0000_s1026" o:spt="1" style="position:absolute;left:1080;top:9889;height:10;width:10;" fillcolor="#000000" filled="t" stroked="f" coordsize="21600,21600" o:gfxdata="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VvQ65AAAA2gAA&#10;AA8AAAAAAAAAAQAgAAAAIgAAAGRycy9kb3ducmV2LnhtbFBLAQIUABQAAAAIAIdO4kAzLwWeOwAA&#10;ADkAAAAQAAAAAAAAAAEAIAAAAAgBAABkcnMvc2hhcGV4bWwueG1sUEsFBgAAAAAGAAYAWwEAALID&#10;AAAAAA==&#10;">
                  <v:fill on="t" focussize="0,0"/>
                  <v:stroke on="f"/>
                  <v:imagedata o:title=""/>
                  <o:lock v:ext="edit" aspectratio="f"/>
                </v:rect>
                <v:line id="Line 9" o:spid="_x0000_s1026" o:spt="20" style="position:absolute;left:1090;top:9894;height:0;width:9729;" filled="f" stroked="t" coordsize="21600,21600" o:gfxdata="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hmD7sAAADa&#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Line 10" o:spid="_x0000_s1026" o:spt="20" style="position:absolute;left:10824;top:154;height:9736;width:0;"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Rectangle 11" o:spid="_x0000_s1026" o:spt="1" style="position:absolute;left:10818;top:9889;height:10;width:10;" fillcolor="#000000" filled="t" stroked="f" coordsize="21600,21600" o:gfxdata="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CRoG8AAAA&#10;2w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sz w:val="24"/>
          <w:highlight w:val="none"/>
          <w:lang w:eastAsia="zh-CN"/>
        </w:rPr>
        <w:t>机动指标使用正面清单</w:t>
      </w:r>
    </w:p>
    <w:p>
      <w:pPr>
        <w:pStyle w:val="12"/>
        <w:spacing w:before="2"/>
        <w:ind w:left="0"/>
        <w:rPr>
          <w:sz w:val="10"/>
          <w:highlight w:val="none"/>
          <w:lang w:eastAsia="zh-CN"/>
        </w:rPr>
      </w:pPr>
    </w:p>
    <w:p>
      <w:pPr>
        <w:spacing w:before="67" w:line="343" w:lineRule="auto"/>
        <w:ind w:left="133" w:right="510"/>
        <w:rPr>
          <w:sz w:val="24"/>
          <w:highlight w:val="none"/>
          <w:lang w:eastAsia="zh-CN"/>
        </w:rPr>
      </w:pPr>
      <w:r>
        <w:rPr>
          <w:rFonts w:hint="eastAsia"/>
          <w:sz w:val="24"/>
          <w:highlight w:val="none"/>
          <w:lang w:eastAsia="zh-CN"/>
        </w:rPr>
        <w:t>在符合“三区三线”和其他底线红线的相关管控要求，以及符合产业项目准入负面清单中明确的管控措施和要求的前提下，应符合如下要求：</w:t>
      </w:r>
    </w:p>
    <w:p>
      <w:pPr>
        <w:spacing w:before="67" w:line="343" w:lineRule="auto"/>
        <w:ind w:left="133" w:right="510"/>
        <w:rPr>
          <w:sz w:val="24"/>
          <w:highlight w:val="none"/>
          <w:lang w:eastAsia="zh-CN"/>
        </w:rPr>
      </w:pPr>
      <w:r>
        <w:rPr>
          <w:rFonts w:hint="eastAsia"/>
          <w:sz w:val="24"/>
          <w:highlight w:val="none"/>
          <w:lang w:eastAsia="zh-CN"/>
        </w:rPr>
        <w:t>（一）属于以“用途留白”“点位示意”或“项目清单”等方式纳入村庄规划的项目类。</w:t>
      </w:r>
    </w:p>
    <w:p>
      <w:pPr>
        <w:spacing w:before="67" w:line="343" w:lineRule="auto"/>
        <w:ind w:left="133" w:right="510"/>
        <w:rPr>
          <w:sz w:val="24"/>
          <w:highlight w:val="none"/>
          <w:lang w:eastAsia="zh-CN"/>
        </w:rPr>
      </w:pPr>
      <w:r>
        <w:rPr>
          <w:rFonts w:hint="eastAsia"/>
          <w:sz w:val="24"/>
          <w:highlight w:val="none"/>
          <w:lang w:eastAsia="zh-CN"/>
        </w:rPr>
        <w:t>（二）单个建设用地面积小于30亩，符合国家和广西壮族自治区规定的点状供地范围的项目类：</w:t>
      </w:r>
    </w:p>
    <w:p>
      <w:pPr>
        <w:spacing w:before="67" w:line="343" w:lineRule="auto"/>
        <w:ind w:left="133" w:right="510"/>
        <w:rPr>
          <w:sz w:val="24"/>
          <w:highlight w:val="none"/>
          <w:lang w:eastAsia="zh-CN"/>
        </w:rPr>
      </w:pPr>
      <w:r>
        <w:rPr>
          <w:rFonts w:hint="eastAsia"/>
          <w:sz w:val="24"/>
          <w:highlight w:val="none"/>
          <w:lang w:eastAsia="zh-CN"/>
        </w:rPr>
        <w:t>1.农村基础设施和公共服务设施用地；</w:t>
      </w:r>
    </w:p>
    <w:p>
      <w:pPr>
        <w:spacing w:before="67" w:line="343" w:lineRule="auto"/>
        <w:ind w:left="133" w:right="510"/>
        <w:rPr>
          <w:sz w:val="24"/>
          <w:highlight w:val="none"/>
          <w:lang w:eastAsia="zh-CN"/>
        </w:rPr>
      </w:pPr>
      <w:r>
        <w:rPr>
          <w:rFonts w:hint="eastAsia"/>
          <w:sz w:val="24"/>
          <w:highlight w:val="none"/>
          <w:lang w:eastAsia="zh-CN"/>
        </w:rPr>
        <w:t>2.乡镇企业、农民合作社、家庭农场、森林经营单位自用的管理和生活用地；</w:t>
      </w:r>
    </w:p>
    <w:p>
      <w:pPr>
        <w:spacing w:before="67" w:line="343" w:lineRule="auto"/>
        <w:ind w:left="133" w:right="510"/>
        <w:rPr>
          <w:sz w:val="24"/>
          <w:highlight w:val="none"/>
          <w:lang w:eastAsia="zh-CN"/>
        </w:rPr>
      </w:pPr>
      <w:r>
        <w:rPr>
          <w:rFonts w:hint="eastAsia"/>
          <w:sz w:val="24"/>
          <w:highlight w:val="none"/>
          <w:lang w:eastAsia="zh-CN"/>
        </w:rPr>
        <w:t>3.休闲农业和养老服务设施用地；</w:t>
      </w:r>
    </w:p>
    <w:p>
      <w:pPr>
        <w:spacing w:before="67" w:line="343" w:lineRule="auto"/>
        <w:ind w:left="133" w:right="510"/>
        <w:rPr>
          <w:sz w:val="24"/>
          <w:highlight w:val="none"/>
          <w:lang w:eastAsia="zh-CN"/>
        </w:rPr>
      </w:pPr>
      <w:r>
        <w:rPr>
          <w:rFonts w:hint="eastAsia"/>
          <w:sz w:val="24"/>
          <w:highlight w:val="none"/>
          <w:lang w:eastAsia="zh-CN"/>
        </w:rPr>
        <w:t>4.依托于山水田林湖海湿地的旅游项目用地；</w:t>
      </w:r>
    </w:p>
    <w:p>
      <w:pPr>
        <w:spacing w:before="67" w:line="343" w:lineRule="auto"/>
        <w:ind w:left="133" w:right="510"/>
        <w:rPr>
          <w:sz w:val="24"/>
          <w:highlight w:val="none"/>
          <w:lang w:eastAsia="zh-CN"/>
        </w:rPr>
      </w:pPr>
      <w:r>
        <w:rPr>
          <w:rFonts w:hint="eastAsia"/>
          <w:sz w:val="24"/>
          <w:highlight w:val="none"/>
          <w:lang w:eastAsia="zh-CN"/>
        </w:rPr>
        <w:t>5.法律法规规定的符合点状供地条件的其他用地。</w:t>
      </w:r>
    </w:p>
    <w:p>
      <w:pPr>
        <w:spacing w:before="67" w:line="343" w:lineRule="auto"/>
        <w:ind w:left="133" w:right="510"/>
        <w:rPr>
          <w:sz w:val="24"/>
          <w:highlight w:val="none"/>
          <w:lang w:eastAsia="zh-CN"/>
        </w:rPr>
      </w:pPr>
      <w:r>
        <w:rPr>
          <w:rFonts w:hint="eastAsia"/>
          <w:sz w:val="24"/>
          <w:highlight w:val="none"/>
          <w:lang w:eastAsia="zh-CN"/>
        </w:rPr>
        <w:t>（三）其他特殊选址、零星用地的项目类：</w:t>
      </w:r>
    </w:p>
    <w:p>
      <w:pPr>
        <w:spacing w:before="67" w:line="343" w:lineRule="auto"/>
        <w:ind w:left="133" w:right="510"/>
        <w:rPr>
          <w:sz w:val="24"/>
          <w:highlight w:val="none"/>
          <w:lang w:eastAsia="zh-CN"/>
        </w:rPr>
      </w:pPr>
      <w:r>
        <w:rPr>
          <w:rFonts w:hint="eastAsia"/>
          <w:sz w:val="24"/>
          <w:highlight w:val="none"/>
          <w:lang w:eastAsia="zh-CN"/>
        </w:rPr>
        <w:t>1.有特殊选址要求的乡村公共服务设施，包括养老服务设施、农村公益性公墓、卫生防疫站、乡村特殊教育学校等；</w:t>
      </w:r>
    </w:p>
    <w:p>
      <w:pPr>
        <w:spacing w:before="67" w:line="343" w:lineRule="auto"/>
        <w:ind w:left="133" w:right="510"/>
        <w:rPr>
          <w:sz w:val="24"/>
          <w:highlight w:val="none"/>
          <w:lang w:eastAsia="zh-CN"/>
        </w:rPr>
      </w:pPr>
      <w:r>
        <w:rPr>
          <w:rFonts w:hint="eastAsia"/>
          <w:sz w:val="24"/>
          <w:highlight w:val="none"/>
          <w:lang w:eastAsia="zh-CN"/>
        </w:rPr>
        <w:t>2.有特殊选址要求的基础设施，包括供水设施、泵站、污水处理设施、垃圾收储设施、垃圾转运处理设施、公共厕所、厕所粪污集中处理相关设施、供电设施、通讯设施等；</w:t>
      </w:r>
    </w:p>
    <w:p>
      <w:pPr>
        <w:spacing w:line="306" w:lineRule="exact"/>
        <w:ind w:left="133"/>
        <w:rPr>
          <w:sz w:val="24"/>
          <w:highlight w:val="none"/>
          <w:lang w:eastAsia="zh-CN"/>
        </w:rPr>
      </w:pPr>
      <w:r>
        <w:rPr>
          <w:rFonts w:hint="eastAsia"/>
          <w:sz w:val="24"/>
          <w:highlight w:val="none"/>
          <w:lang w:eastAsia="zh-CN"/>
        </w:rPr>
        <w:t>3.零星分散的村民居住等建设项目</w:t>
      </w:r>
      <w:r>
        <w:rPr>
          <w:sz w:val="24"/>
          <w:highlight w:val="none"/>
          <w:lang w:eastAsia="zh-CN"/>
        </w:rPr>
        <w:t>。</w:t>
      </w:r>
    </w:p>
    <w:p>
      <w:pPr>
        <w:spacing w:line="306" w:lineRule="exact"/>
        <w:rPr>
          <w:sz w:val="24"/>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50" w:name="_bookmark36"/>
      <w:bookmarkEnd w:id="50"/>
      <w:r>
        <w:rPr>
          <w:rFonts w:ascii="微软雅黑" w:hAnsi="微软雅黑" w:eastAsia="微软雅黑" w:cs="微软雅黑"/>
          <w:b/>
          <w:bCs/>
          <w:color w:val="auto"/>
          <w:sz w:val="30"/>
          <w:szCs w:val="30"/>
          <w:highlight w:val="none"/>
          <w:lang w:eastAsia="zh-CN"/>
        </w:rPr>
        <w:t>附表三 村庄建设用地负面清单</w:t>
      </w:r>
    </w:p>
    <w:p>
      <w:pPr>
        <w:spacing w:before="219"/>
        <w:ind w:left="3773"/>
        <w:rPr>
          <w:sz w:val="24"/>
          <w:highlight w:val="none"/>
          <w:lang w:eastAsia="zh-CN"/>
        </w:rPr>
      </w:pPr>
      <w:r>
        <w:rPr>
          <w:highlight w:val="none"/>
        </w:rPr>
        <mc:AlternateContent>
          <mc:Choice Requires="wpg">
            <w:drawing>
              <wp:anchor distT="0" distB="0" distL="114300" distR="114300" simplePos="0" relativeHeight="251660288" behindDoc="1" locked="0" layoutInCell="1" allowOverlap="1">
                <wp:simplePos x="0" y="0"/>
                <wp:positionH relativeFrom="page">
                  <wp:posOffset>685800</wp:posOffset>
                </wp:positionH>
                <wp:positionV relativeFrom="paragraph">
                  <wp:posOffset>73660</wp:posOffset>
                </wp:positionV>
                <wp:extent cx="6190615" cy="6594475"/>
                <wp:effectExtent l="0" t="0" r="0" b="0"/>
                <wp:wrapNone/>
                <wp:docPr id="23" name="组合 2"/>
                <wp:cNvGraphicFramePr/>
                <a:graphic xmlns:a="http://schemas.openxmlformats.org/drawingml/2006/main">
                  <a:graphicData uri="http://schemas.microsoft.com/office/word/2010/wordprocessingGroup">
                    <wpg:wgp>
                      <wpg:cNvGrpSpPr/>
                      <wpg:grpSpPr>
                        <a:xfrm>
                          <a:off x="0" y="0"/>
                          <a:ext cx="6190615" cy="6594475"/>
                          <a:chOff x="1080" y="116"/>
                          <a:chExt cx="9749" cy="10224203"/>
                        </a:xfrm>
                      </wpg:grpSpPr>
                      <wps:wsp>
                        <wps:cNvPr id="14" name="Freeform 13"/>
                        <wps:cNvSpPr/>
                        <wps:spPr>
                          <a:xfrm>
                            <a:off x="1080" y="115"/>
                            <a:ext cx="10" cy="39"/>
                          </a:xfrm>
                          <a:custGeom>
                            <a:avLst/>
                            <a:gdLst>
                              <a:gd name="A1" fmla="val 0"/>
                              <a:gd name="A2" fmla="val 0"/>
                            </a:gdLst>
                            <a:ahLst/>
                            <a:cxnLst>
                              <a:cxn ang="0">
                                <a:pos x="10" y="116"/>
                              </a:cxn>
                              <a:cxn ang="0">
                                <a:pos x="0" y="116"/>
                              </a:cxn>
                              <a:cxn ang="0">
                                <a:pos x="0" y="125"/>
                              </a:cxn>
                              <a:cxn ang="0">
                                <a:pos x="0" y="154"/>
                              </a:cxn>
                              <a:cxn ang="0">
                                <a:pos x="10" y="154"/>
                              </a:cxn>
                              <a:cxn ang="0">
                                <a:pos x="10" y="125"/>
                              </a:cxn>
                              <a:cxn ang="0">
                                <a:pos x="10" y="116"/>
                              </a:cxn>
                            </a:cxnLst>
                            <a:pathLst>
                              <a:path w="10" h="39">
                                <a:moveTo>
                                  <a:pt x="10" y="0"/>
                                </a:moveTo>
                                <a:lnTo>
                                  <a:pt x="0" y="0"/>
                                </a:lnTo>
                                <a:lnTo>
                                  <a:pt x="0" y="9"/>
                                </a:lnTo>
                                <a:lnTo>
                                  <a:pt x="0" y="38"/>
                                </a:lnTo>
                                <a:lnTo>
                                  <a:pt x="10" y="38"/>
                                </a:lnTo>
                                <a:lnTo>
                                  <a:pt x="10" y="9"/>
                                </a:lnTo>
                                <a:lnTo>
                                  <a:pt x="10" y="0"/>
                                </a:lnTo>
                              </a:path>
                            </a:pathLst>
                          </a:custGeom>
                          <a:solidFill>
                            <a:srgbClr val="000000"/>
                          </a:solidFill>
                          <a:ln>
                            <a:noFill/>
                          </a:ln>
                        </wps:spPr>
                        <wps:bodyPr upright="1"/>
                      </wps:wsp>
                      <wps:wsp>
                        <wps:cNvPr id="15" name="Line 14"/>
                        <wps:cNvCnPr/>
                        <wps:spPr>
                          <a:xfrm>
                            <a:off x="1090" y="121"/>
                            <a:ext cx="9729" cy="0"/>
                          </a:xfrm>
                          <a:prstGeom prst="line">
                            <a:avLst/>
                          </a:prstGeom>
                          <a:ln w="6096" cap="flat" cmpd="sng">
                            <a:solidFill>
                              <a:srgbClr val="000000"/>
                            </a:solidFill>
                            <a:prstDash val="solid"/>
                            <a:headEnd type="none" w="med" len="med"/>
                            <a:tailEnd type="none" w="med" len="med"/>
                          </a:ln>
                        </wps:spPr>
                        <wps:bodyPr upright="1"/>
                      </wps:wsp>
                      <wps:wsp>
                        <wps:cNvPr id="16" name="Freeform 15"/>
                        <wps:cNvSpPr/>
                        <wps:spPr>
                          <a:xfrm>
                            <a:off x="10818" y="115"/>
                            <a:ext cx="10" cy="39"/>
                          </a:xfrm>
                          <a:custGeom>
                            <a:avLst/>
                            <a:gdLst>
                              <a:gd name="A1" fmla="val 0"/>
                              <a:gd name="A2" fmla="val 0"/>
                            </a:gdLst>
                            <a:ahLst/>
                            <a:cxnLst>
                              <a:cxn ang="0">
                                <a:pos x="9" y="116"/>
                              </a:cxn>
                              <a:cxn ang="0">
                                <a:pos x="0" y="116"/>
                              </a:cxn>
                              <a:cxn ang="0">
                                <a:pos x="0" y="125"/>
                              </a:cxn>
                              <a:cxn ang="0">
                                <a:pos x="0" y="154"/>
                              </a:cxn>
                              <a:cxn ang="0">
                                <a:pos x="9" y="154"/>
                              </a:cxn>
                              <a:cxn ang="0">
                                <a:pos x="9" y="125"/>
                              </a:cxn>
                              <a:cxn ang="0">
                                <a:pos x="9" y="116"/>
                              </a:cxn>
                            </a:cxnLst>
                            <a:pathLst>
                              <a:path w="10" h="39">
                                <a:moveTo>
                                  <a:pt x="9" y="0"/>
                                </a:moveTo>
                                <a:lnTo>
                                  <a:pt x="0" y="0"/>
                                </a:lnTo>
                                <a:lnTo>
                                  <a:pt x="0" y="9"/>
                                </a:lnTo>
                                <a:lnTo>
                                  <a:pt x="0" y="38"/>
                                </a:lnTo>
                                <a:lnTo>
                                  <a:pt x="9" y="38"/>
                                </a:lnTo>
                                <a:lnTo>
                                  <a:pt x="9" y="9"/>
                                </a:lnTo>
                                <a:lnTo>
                                  <a:pt x="9" y="0"/>
                                </a:lnTo>
                              </a:path>
                            </a:pathLst>
                          </a:custGeom>
                          <a:solidFill>
                            <a:srgbClr val="000000"/>
                          </a:solidFill>
                          <a:ln>
                            <a:noFill/>
                          </a:ln>
                        </wps:spPr>
                        <wps:bodyPr upright="1"/>
                      </wps:wsp>
                      <wps:wsp>
                        <wps:cNvPr id="17" name="Line 16"/>
                        <wps:cNvCnPr/>
                        <wps:spPr>
                          <a:xfrm>
                            <a:off x="1090" y="627"/>
                            <a:ext cx="9729" cy="0"/>
                          </a:xfrm>
                          <a:prstGeom prst="line">
                            <a:avLst/>
                          </a:prstGeom>
                          <a:ln w="6096" cap="flat" cmpd="sng">
                            <a:solidFill>
                              <a:srgbClr val="000000"/>
                            </a:solidFill>
                            <a:prstDash val="solid"/>
                            <a:headEnd type="none" w="med" len="med"/>
                            <a:tailEnd type="none" w="med" len="med"/>
                          </a:ln>
                        </wps:spPr>
                        <wps:bodyPr upright="1"/>
                      </wps:wsp>
                      <wps:wsp>
                        <wps:cNvPr id="18" name="Line 17"/>
                        <wps:cNvCnPr/>
                        <wps:spPr>
                          <a:xfrm>
                            <a:off x="1085" y="154"/>
                            <a:ext cx="0" cy="10175"/>
                          </a:xfrm>
                          <a:prstGeom prst="line">
                            <a:avLst/>
                          </a:prstGeom>
                          <a:ln w="6096" cap="flat" cmpd="sng">
                            <a:solidFill>
                              <a:srgbClr val="000000"/>
                            </a:solidFill>
                            <a:prstDash val="solid"/>
                            <a:headEnd type="none" w="med" len="med"/>
                            <a:tailEnd type="none" w="med" len="med"/>
                          </a:ln>
                        </wps:spPr>
                        <wps:bodyPr upright="1"/>
                      </wps:wsp>
                      <wps:wsp>
                        <wps:cNvPr id="19" name="Rectangle 18"/>
                        <wps:cNvSpPr/>
                        <wps:spPr>
                          <a:xfrm>
                            <a:off x="1080" y="10329"/>
                            <a:ext cx="10" cy="10"/>
                          </a:xfrm>
                          <a:prstGeom prst="rect">
                            <a:avLst/>
                          </a:prstGeom>
                          <a:solidFill>
                            <a:srgbClr val="000000"/>
                          </a:solidFill>
                          <a:ln>
                            <a:noFill/>
                          </a:ln>
                        </wps:spPr>
                        <wps:bodyPr upright="1"/>
                      </wps:wsp>
                      <wps:wsp>
                        <wps:cNvPr id="20" name="Line 19"/>
                        <wps:cNvCnPr/>
                        <wps:spPr>
                          <a:xfrm>
                            <a:off x="1090" y="10334"/>
                            <a:ext cx="9729" cy="0"/>
                          </a:xfrm>
                          <a:prstGeom prst="line">
                            <a:avLst/>
                          </a:prstGeom>
                          <a:ln w="6096" cap="flat" cmpd="sng">
                            <a:solidFill>
                              <a:srgbClr val="000000"/>
                            </a:solidFill>
                            <a:prstDash val="solid"/>
                            <a:headEnd type="none" w="med" len="med"/>
                            <a:tailEnd type="none" w="med" len="med"/>
                          </a:ln>
                        </wps:spPr>
                        <wps:bodyPr upright="1"/>
                      </wps:wsp>
                      <wps:wsp>
                        <wps:cNvPr id="21" name="Line 20"/>
                        <wps:cNvCnPr/>
                        <wps:spPr>
                          <a:xfrm>
                            <a:off x="10824" y="154"/>
                            <a:ext cx="0" cy="10175"/>
                          </a:xfrm>
                          <a:prstGeom prst="line">
                            <a:avLst/>
                          </a:prstGeom>
                          <a:ln w="6096" cap="flat" cmpd="sng">
                            <a:solidFill>
                              <a:srgbClr val="000000"/>
                            </a:solidFill>
                            <a:prstDash val="solid"/>
                            <a:headEnd type="none" w="med" len="med"/>
                            <a:tailEnd type="none" w="med" len="med"/>
                          </a:ln>
                        </wps:spPr>
                        <wps:bodyPr upright="1"/>
                      </wps:wsp>
                      <wps:wsp>
                        <wps:cNvPr id="22" name="Rectangle 21"/>
                        <wps:cNvSpPr/>
                        <wps:spPr>
                          <a:xfrm>
                            <a:off x="10818" y="10329"/>
                            <a:ext cx="10" cy="10"/>
                          </a:xfrm>
                          <a:prstGeom prst="rect">
                            <a:avLst/>
                          </a:prstGeom>
                          <a:solidFill>
                            <a:srgbClr val="000000"/>
                          </a:solidFill>
                          <a:ln>
                            <a:noFill/>
                          </a:ln>
                        </wps:spPr>
                        <wps:bodyPr upright="1"/>
                      </wps:wsp>
                    </wpg:wgp>
                  </a:graphicData>
                </a:graphic>
              </wp:anchor>
            </w:drawing>
          </mc:Choice>
          <mc:Fallback>
            <w:pict>
              <v:group id="组合 2" o:spid="_x0000_s1026" o:spt="203" style="position:absolute;left:0pt;margin-left:54pt;margin-top:5.8pt;height:519.25pt;width:487.45pt;mso-position-horizontal-relative:page;z-index:-251656192;mso-width-relative:page;mso-height-relative:page;" coordorigin="1080,116" coordsize="9749,10224203" o:gfxdata="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DO4GLjZAAAA&#10;DAEAAA8AAAAAAAAAAQAgAAAAIgAAAGRycy9kb3ducmV2LnhtbFBLAQIUABQAAAAIAIdO4kDjvbQN&#10;VgQAAIMYAAAOAAAAAAAAAAEAIAAAACgBAABkcnMvZTJvRG9jLnhtbFBLBQYAAAAABgAGAFkBAADw&#10;BwAAAAA=&#10;">
                <o:lock v:ext="edit" aspectratio="f"/>
                <v:shape id="Freeform 13" o:spid="_x0000_s1026" o:spt="100" style="position:absolute;left:1080;top:115;height:39;width:10;" fillcolor="#000000" filled="t" stroked="f" coordsize="10,39" o:gfxdata="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zGGvQAA&#10;ANsAAAAPAAAAAAAAAAEAIAAAACIAAABkcnMvZG93bnJldi54bWxQSwECFAAUAAAACACHTuJAMy8F&#10;njsAAAA5AAAAEAAAAAAAAAABACAAAAAMAQAAZHJzL3NoYXBleG1sLnhtbFBLBQYAAAAABgAGAFsB&#10;AAC2AwAAAAA=&#10;" path="m10,0l0,0,0,9,0,38,10,38,10,9,10,0e">
                  <v:path o:connectlocs="10,116;0,116;0,125;0,154;10,154;10,125;10,116" o:connectangles="0,0,0,0,0,0,0"/>
                  <v:fill on="t" focussize="0,0"/>
                  <v:stroke on="f"/>
                  <v:imagedata o:title=""/>
                  <o:lock v:ext="edit" aspectratio="f"/>
                </v:shape>
                <v:line id="Line 14" o:spid="_x0000_s1026" o:spt="20" style="position:absolute;left:1090;top:121;height:0;width:9729;" filled="f" stroked="t" coordsize="21600,21600" o:gfxdata="UEsDBAoAAAAAAIdO4kAAAAAAAAAAAAAAAAAEAAAAZHJzL1BLAwQUAAAACACHTuJAT88uj7sAAADb&#10;AAAADwAAAGRycy9kb3ducmV2LnhtbEVPTYvCMBC9C/6HMII3TRV0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8uj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Freeform 15" o:spid="_x0000_s1026" o:spt="100" style="position:absolute;left:10818;top:115;height:39;width:10;" fillcolor="#000000" filled="t" stroked="f" coordsize="10,39" o:gfxdata="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Cmq8AAAA&#10;2wAAAA8AAAAAAAAAAQAgAAAAIgAAAGRycy9kb3ducmV2LnhtbFBLAQIUABQAAAAIAIdO4kAzLwWe&#10;OwAAADkAAAAQAAAAAAAAAAEAIAAAAAsBAABkcnMvc2hhcGV4bWwueG1sUEsFBgAAAAAGAAYAWwEA&#10;ALUDAAAAAA==&#10;" path="m9,0l0,0,0,9,0,38,9,38,9,9,9,0e">
                  <v:path o:connectlocs="9,116;0,116;0,125;0,154;9,154;9,125;9,116" o:connectangles="0,0,0,0,0,0,0"/>
                  <v:fill on="t" focussize="0,0"/>
                  <v:stroke on="f"/>
                  <v:imagedata o:title=""/>
                  <o:lock v:ext="edit" aspectratio="f"/>
                </v:shape>
                <v:line id="Line 16" o:spid="_x0000_s1026" o:spt="20" style="position:absolute;left:1090;top:627;height:0;width:9729;"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Line 17" o:spid="_x0000_s1026" o:spt="20" style="position:absolute;left:1085;top:154;height:10175;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Rectangle 18" o:spid="_x0000_s1026" o:spt="1" style="position:absolute;left:1080;top:10329;height:10;width:10;" fillcolor="#000000" filled="t" stroked="f" coordsize="21600,21600" o:gfxdata="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m1PC8AAAA&#10;2wAAAA8AAAAAAAAAAQAgAAAAIgAAAGRycy9kb3ducmV2LnhtbFBLAQIUABQAAAAIAIdO4kAzLwWe&#10;OwAAADkAAAAQAAAAAAAAAAEAIAAAAAsBAABkcnMvc2hhcGV4bWwueG1sUEsFBgAAAAAGAAYAWwEA&#10;ALUDAAAAAA==&#10;">
                  <v:fill on="t" focussize="0,0"/>
                  <v:stroke on="f"/>
                  <v:imagedata o:title=""/>
                  <o:lock v:ext="edit" aspectratio="f"/>
                </v:rect>
                <v:line id="Line 19" o:spid="_x0000_s1026" o:spt="20" style="position:absolute;left:1090;top:10334;height:0;width:9729;"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Line 20" o:spid="_x0000_s1026" o:spt="20" style="position:absolute;left:10824;top:154;height:10175;width:0;"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Rectangle 21" o:spid="_x0000_s1026" o:spt="1" style="position:absolute;left:10818;top:10329;height:10;width:10;" fillcolor="#000000" filled="t" stroked="f" coordsize="21600,21600" o:gfxdata="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6MPL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sz w:val="24"/>
          <w:highlight w:val="none"/>
          <w:lang w:eastAsia="zh-CN"/>
        </w:rPr>
        <w:t>村庄建设用地负面清单</w:t>
      </w:r>
    </w:p>
    <w:p>
      <w:pPr>
        <w:spacing w:before="197" w:line="343" w:lineRule="auto"/>
        <w:ind w:left="133" w:right="510"/>
        <w:rPr>
          <w:sz w:val="24"/>
          <w:highlight w:val="none"/>
          <w:lang w:eastAsia="zh-CN"/>
        </w:rPr>
      </w:pPr>
      <w:r>
        <w:rPr>
          <w:rFonts w:hint="eastAsia" w:ascii="Times New Roman" w:eastAsia="Times New Roman"/>
          <w:sz w:val="24"/>
          <w:highlight w:val="none"/>
          <w:lang w:eastAsia="zh-CN"/>
        </w:rPr>
        <w:t>1.</w:t>
      </w:r>
      <w:r>
        <w:rPr>
          <w:sz w:val="24"/>
          <w:highlight w:val="none"/>
          <w:lang w:eastAsia="zh-CN"/>
        </w:rPr>
        <w:t>永久基本农田严禁占用情形：严禁占用永久基本农田挖湖造景、建设绿化带；严禁新增占用永久基本农田建设畜禽养殖设施、水产养殖设施和破坏耕作层的种植业设施；严禁任何单位和个人在永久基本农田上建窑、建房、建坟、挖砂、采石、取土、堆放固体废弃物或者进行其他破坏永久基本农田的活动。</w:t>
      </w:r>
    </w:p>
    <w:p>
      <w:pPr>
        <w:spacing w:line="340" w:lineRule="auto"/>
        <w:ind w:left="133" w:right="630"/>
        <w:rPr>
          <w:sz w:val="24"/>
          <w:highlight w:val="none"/>
          <w:lang w:eastAsia="zh-CN"/>
        </w:rPr>
      </w:pPr>
      <w:r>
        <w:rPr>
          <w:rFonts w:hint="eastAsia" w:ascii="Times New Roman" w:eastAsia="Times New Roman"/>
          <w:sz w:val="24"/>
          <w:highlight w:val="none"/>
          <w:lang w:eastAsia="zh-CN"/>
        </w:rPr>
        <w:t>2.</w:t>
      </w:r>
      <w:r>
        <w:rPr>
          <w:sz w:val="24"/>
          <w:highlight w:val="none"/>
          <w:lang w:eastAsia="zh-CN"/>
        </w:rPr>
        <w:t>禁止占用耕地建窑、建坟或者擅自在耕地上建房、挖砂、采石、采矿、取土等。禁止占用永久基本农田发展林果业和挖塘养鱼。禁止任何单位和个人闲置、荒芜耕地。</w:t>
      </w:r>
    </w:p>
    <w:p>
      <w:pPr>
        <w:spacing w:line="340" w:lineRule="auto"/>
        <w:ind w:left="133" w:right="630"/>
        <w:rPr>
          <w:sz w:val="24"/>
          <w:highlight w:val="none"/>
          <w:lang w:eastAsia="zh-CN"/>
        </w:rPr>
      </w:pPr>
      <w:r>
        <w:rPr>
          <w:rFonts w:hint="eastAsia" w:ascii="Times New Roman" w:eastAsia="Times New Roman"/>
          <w:sz w:val="24"/>
          <w:highlight w:val="none"/>
          <w:lang w:eastAsia="zh-CN"/>
        </w:rPr>
        <w:t>3.</w:t>
      </w:r>
      <w:r>
        <w:rPr>
          <w:sz w:val="24"/>
          <w:highlight w:val="none"/>
          <w:lang w:eastAsia="zh-CN"/>
        </w:rPr>
        <w:t>严禁以设施农业为名占用耕地违法违规建设与农业发展无关的设施；严禁在农业大棚内违法违规占用耕地建设住宅、餐饮、娱乐等非农设施。</w:t>
      </w:r>
    </w:p>
    <w:p>
      <w:pPr>
        <w:spacing w:before="1" w:line="343" w:lineRule="auto"/>
        <w:ind w:left="133" w:right="510"/>
        <w:rPr>
          <w:sz w:val="24"/>
          <w:highlight w:val="none"/>
          <w:lang w:eastAsia="zh-CN"/>
        </w:rPr>
      </w:pPr>
      <w:r>
        <w:rPr>
          <w:rFonts w:hint="eastAsia" w:ascii="Times New Roman" w:hAnsi="Times New Roman" w:eastAsia="Times New Roman"/>
          <w:sz w:val="24"/>
          <w:highlight w:val="none"/>
          <w:lang w:eastAsia="zh-CN"/>
        </w:rPr>
        <w:t>4.</w:t>
      </w:r>
      <w:r>
        <w:rPr>
          <w:sz w:val="24"/>
          <w:highlight w:val="none"/>
          <w:lang w:eastAsia="zh-CN"/>
        </w:rPr>
        <w:t>农村乱占耕地建房“八不准”：不准占用永久基本农田建房；不准强占多占耕地建房；不准买卖、流转耕地违法建房；不准在承包耕地上违法建房；不准巧立名目违法占用耕地建房；不准违反“一户一宅”规定占用耕地建房；不准非法出售占用耕地建的房屋；不准违法审批占用耕地建房。</w:t>
      </w:r>
    </w:p>
    <w:p>
      <w:pPr>
        <w:spacing w:line="343" w:lineRule="auto"/>
        <w:ind w:left="133" w:right="630"/>
        <w:rPr>
          <w:sz w:val="24"/>
          <w:highlight w:val="none"/>
          <w:lang w:eastAsia="zh-CN"/>
        </w:rPr>
      </w:pPr>
      <w:r>
        <w:rPr>
          <w:rFonts w:hint="eastAsia" w:ascii="Times New Roman" w:eastAsia="Times New Roman"/>
          <w:sz w:val="24"/>
          <w:highlight w:val="none"/>
          <w:lang w:eastAsia="zh-CN"/>
        </w:rPr>
        <w:t>5.</w:t>
      </w:r>
      <w:r>
        <w:rPr>
          <w:sz w:val="24"/>
          <w:highlight w:val="none"/>
          <w:lang w:eastAsia="zh-CN"/>
        </w:rPr>
        <w:t>农村产业融合发展用地不得用于商品住宅、别墅、酒店、公寓等房地产开发，不得擅自改变用途或分割转让转租。</w:t>
      </w:r>
    </w:p>
    <w:p>
      <w:pPr>
        <w:spacing w:line="340" w:lineRule="auto"/>
        <w:ind w:left="133" w:right="510"/>
        <w:rPr>
          <w:sz w:val="24"/>
          <w:highlight w:val="none"/>
          <w:lang w:eastAsia="zh-CN"/>
        </w:rPr>
      </w:pPr>
      <w:r>
        <w:rPr>
          <w:rFonts w:hint="eastAsia" w:ascii="Times New Roman" w:eastAsia="Times New Roman"/>
          <w:sz w:val="24"/>
          <w:highlight w:val="none"/>
          <w:lang w:eastAsia="zh-CN"/>
        </w:rPr>
        <w:t>6.</w:t>
      </w:r>
      <w:r>
        <w:rPr>
          <w:sz w:val="24"/>
          <w:highlight w:val="none"/>
          <w:lang w:eastAsia="zh-CN"/>
        </w:rPr>
        <w:t>严禁城镇居民到农村购买宅基地，严禁下乡利用农村宅基地建设别墅大院和私人会馆。严禁借流转之名违法违规圈占、买卖宅基地。严禁随意撤并村庄搞大社区、违背农民意愿大拆大建。</w:t>
      </w:r>
    </w:p>
    <w:p>
      <w:pPr>
        <w:spacing w:line="340" w:lineRule="auto"/>
        <w:ind w:left="133" w:right="630"/>
        <w:rPr>
          <w:sz w:val="24"/>
          <w:highlight w:val="none"/>
          <w:lang w:eastAsia="zh-CN"/>
        </w:rPr>
      </w:pPr>
      <w:r>
        <w:rPr>
          <w:rFonts w:hint="eastAsia" w:ascii="Times New Roman" w:eastAsia="Times New Roman"/>
          <w:sz w:val="24"/>
          <w:highlight w:val="none"/>
          <w:lang w:eastAsia="zh-CN"/>
        </w:rPr>
        <w:t>7.</w:t>
      </w:r>
      <w:r>
        <w:rPr>
          <w:sz w:val="24"/>
          <w:highlight w:val="none"/>
          <w:lang w:eastAsia="zh-CN"/>
        </w:rPr>
        <w:t>禁止违背农村村民意愿强制流转宅基地，禁止违法收回农村村民依法取得的宅基地，禁止以退出宅基地作为农村村民进城落户的条件，不得强制农民搬迁和上楼居住。</w:t>
      </w:r>
    </w:p>
    <w:p>
      <w:pPr>
        <w:ind w:left="133"/>
        <w:rPr>
          <w:sz w:val="24"/>
          <w:highlight w:val="none"/>
          <w:lang w:eastAsia="zh-CN"/>
        </w:rPr>
      </w:pPr>
      <w:r>
        <w:rPr>
          <w:rFonts w:hint="eastAsia" w:ascii="Times New Roman" w:eastAsia="Times New Roman"/>
          <w:sz w:val="24"/>
          <w:highlight w:val="none"/>
          <w:lang w:eastAsia="zh-CN"/>
        </w:rPr>
        <w:t>8.</w:t>
      </w:r>
      <w:r>
        <w:rPr>
          <w:sz w:val="24"/>
          <w:highlight w:val="none"/>
          <w:lang w:eastAsia="zh-CN"/>
        </w:rPr>
        <w:t>禁止毁坏森林、草原开垦耕地，禁止围湖造田和侵占江河滩地。</w:t>
      </w:r>
    </w:p>
    <w:p>
      <w:pPr>
        <w:spacing w:before="130" w:line="340" w:lineRule="auto"/>
        <w:ind w:left="133" w:right="630"/>
        <w:rPr>
          <w:sz w:val="24"/>
          <w:highlight w:val="none"/>
          <w:lang w:eastAsia="zh-CN"/>
        </w:rPr>
      </w:pPr>
      <w:r>
        <w:rPr>
          <w:rFonts w:hint="eastAsia" w:ascii="Times New Roman" w:eastAsia="Times New Roman"/>
          <w:sz w:val="24"/>
          <w:highlight w:val="none"/>
          <w:lang w:eastAsia="zh-CN"/>
        </w:rPr>
        <w:t>9.</w:t>
      </w:r>
      <w:r>
        <w:rPr>
          <w:sz w:val="24"/>
          <w:highlight w:val="none"/>
          <w:lang w:eastAsia="zh-CN"/>
        </w:rPr>
        <w:t>严禁违规占用耕地和违背自然规律绿化造林、挖湖造景，严格限制林区耕地湿地等占用和过度开发。</w:t>
      </w:r>
    </w:p>
    <w:p>
      <w:pPr>
        <w:spacing w:before="130" w:line="340" w:lineRule="auto"/>
        <w:ind w:left="133" w:right="630"/>
        <w:rPr>
          <w:rFonts w:hint="eastAsia"/>
          <w:sz w:val="24"/>
          <w:highlight w:val="none"/>
          <w:lang w:val="en-US" w:eastAsia="zh-CN"/>
        </w:rPr>
      </w:pPr>
      <w:r>
        <w:rPr>
          <w:rFonts w:hint="eastAsia"/>
          <w:sz w:val="24"/>
          <w:highlight w:val="none"/>
          <w:lang w:val="en-US" w:eastAsia="zh-CN"/>
        </w:rPr>
        <w:t>10.村庄</w:t>
      </w:r>
      <w:r>
        <w:rPr>
          <w:rFonts w:hint="eastAsia"/>
          <w:sz w:val="24"/>
          <w:highlight w:val="none"/>
          <w:lang w:eastAsia="zh-CN"/>
        </w:rPr>
        <w:t>建设项目选址、建设，应当避开古树名木保护范围。</w:t>
      </w:r>
    </w:p>
    <w:p>
      <w:pPr>
        <w:spacing w:before="130" w:line="340" w:lineRule="auto"/>
        <w:ind w:left="133" w:right="630"/>
        <w:rPr>
          <w:sz w:val="24"/>
          <w:highlight w:val="none"/>
          <w:lang w:eastAsia="zh-CN"/>
        </w:rPr>
      </w:pPr>
    </w:p>
    <w:p>
      <w:pPr>
        <w:spacing w:line="340" w:lineRule="auto"/>
        <w:rPr>
          <w:sz w:val="24"/>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51" w:name="_bookmark37"/>
      <w:bookmarkEnd w:id="51"/>
      <w:r>
        <w:rPr>
          <w:rFonts w:ascii="微软雅黑" w:hAnsi="微软雅黑" w:eastAsia="微软雅黑" w:cs="微软雅黑"/>
          <w:b/>
          <w:bCs/>
          <w:color w:val="auto"/>
          <w:sz w:val="30"/>
          <w:szCs w:val="30"/>
          <w:highlight w:val="none"/>
          <w:lang w:eastAsia="zh-CN"/>
        </w:rPr>
        <w:t>附表四 产业项目准入负面清单</w:t>
      </w:r>
    </w:p>
    <w:tbl>
      <w:tblPr>
        <w:tblStyle w:val="44"/>
        <w:tblW w:w="973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
        <w:gridCol w:w="988"/>
        <w:gridCol w:w="1116"/>
        <w:gridCol w:w="950"/>
        <w:gridCol w:w="1016"/>
        <w:gridCol w:w="1100"/>
        <w:gridCol w:w="2000"/>
        <w:gridCol w:w="2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2" w:hRule="atLeast"/>
          <w:jc w:val="center"/>
        </w:trPr>
        <w:tc>
          <w:tcPr>
            <w:tcW w:w="416" w:type="dxa"/>
            <w:vAlign w:val="center"/>
          </w:tcPr>
          <w:p>
            <w:pPr>
              <w:pStyle w:val="46"/>
              <w:ind w:right="89"/>
              <w:rPr>
                <w:b/>
                <w:sz w:val="21"/>
                <w:highlight w:val="none"/>
              </w:rPr>
            </w:pPr>
            <w:r>
              <w:rPr>
                <w:rFonts w:hint="eastAsia"/>
                <w:b/>
                <w:sz w:val="21"/>
                <w:highlight w:val="none"/>
              </w:rPr>
              <w:t>序号</w:t>
            </w:r>
          </w:p>
        </w:tc>
        <w:tc>
          <w:tcPr>
            <w:tcW w:w="988" w:type="dxa"/>
            <w:vAlign w:val="center"/>
          </w:tcPr>
          <w:p>
            <w:pPr>
              <w:pStyle w:val="46"/>
              <w:jc w:val="both"/>
              <w:rPr>
                <w:b/>
                <w:sz w:val="21"/>
                <w:highlight w:val="none"/>
              </w:rPr>
            </w:pPr>
            <w:r>
              <w:rPr>
                <w:rFonts w:hint="eastAsia"/>
                <w:b/>
                <w:sz w:val="21"/>
                <w:highlight w:val="none"/>
              </w:rPr>
              <w:t>门类（</w:t>
            </w:r>
            <w:r>
              <w:rPr>
                <w:rFonts w:hint="eastAsia"/>
                <w:b/>
                <w:spacing w:val="-9"/>
                <w:sz w:val="21"/>
                <w:highlight w:val="none"/>
              </w:rPr>
              <w:t>代码</w:t>
            </w:r>
            <w:r>
              <w:rPr>
                <w:rFonts w:hint="eastAsia"/>
                <w:b/>
                <w:sz w:val="21"/>
                <w:highlight w:val="none"/>
              </w:rPr>
              <w:t>及名称）</w:t>
            </w:r>
          </w:p>
        </w:tc>
        <w:tc>
          <w:tcPr>
            <w:tcW w:w="1116" w:type="dxa"/>
            <w:vAlign w:val="center"/>
          </w:tcPr>
          <w:p>
            <w:pPr>
              <w:pStyle w:val="46"/>
              <w:rPr>
                <w:b/>
                <w:sz w:val="21"/>
                <w:highlight w:val="none"/>
              </w:rPr>
            </w:pPr>
            <w:r>
              <w:rPr>
                <w:rFonts w:hint="eastAsia"/>
                <w:b/>
                <w:sz w:val="21"/>
                <w:highlight w:val="none"/>
              </w:rPr>
              <w:t>大类（</w:t>
            </w:r>
            <w:r>
              <w:rPr>
                <w:rFonts w:hint="eastAsia"/>
                <w:b/>
                <w:spacing w:val="-9"/>
                <w:sz w:val="21"/>
                <w:highlight w:val="none"/>
              </w:rPr>
              <w:t>代码</w:t>
            </w:r>
            <w:r>
              <w:rPr>
                <w:rFonts w:hint="eastAsia"/>
                <w:b/>
                <w:sz w:val="21"/>
                <w:highlight w:val="none"/>
              </w:rPr>
              <w:t>及名称）</w:t>
            </w:r>
          </w:p>
        </w:tc>
        <w:tc>
          <w:tcPr>
            <w:tcW w:w="950" w:type="dxa"/>
            <w:vAlign w:val="center"/>
          </w:tcPr>
          <w:p>
            <w:pPr>
              <w:pStyle w:val="46"/>
              <w:rPr>
                <w:b/>
                <w:sz w:val="21"/>
                <w:highlight w:val="none"/>
              </w:rPr>
            </w:pPr>
            <w:r>
              <w:rPr>
                <w:rFonts w:hint="eastAsia"/>
                <w:b/>
                <w:sz w:val="21"/>
                <w:highlight w:val="none"/>
              </w:rPr>
              <w:t>中类（</w:t>
            </w:r>
            <w:r>
              <w:rPr>
                <w:rFonts w:hint="eastAsia"/>
                <w:b/>
                <w:spacing w:val="-10"/>
                <w:sz w:val="21"/>
                <w:highlight w:val="none"/>
              </w:rPr>
              <w:t>代码</w:t>
            </w:r>
            <w:r>
              <w:rPr>
                <w:rFonts w:hint="eastAsia"/>
                <w:b/>
                <w:sz w:val="21"/>
                <w:highlight w:val="none"/>
              </w:rPr>
              <w:t>及名称）</w:t>
            </w:r>
          </w:p>
        </w:tc>
        <w:tc>
          <w:tcPr>
            <w:tcW w:w="1016" w:type="dxa"/>
            <w:vAlign w:val="center"/>
          </w:tcPr>
          <w:p>
            <w:pPr>
              <w:pStyle w:val="46"/>
              <w:rPr>
                <w:b/>
                <w:sz w:val="21"/>
                <w:highlight w:val="none"/>
              </w:rPr>
            </w:pPr>
            <w:r>
              <w:rPr>
                <w:rFonts w:hint="eastAsia"/>
                <w:b/>
                <w:sz w:val="21"/>
                <w:highlight w:val="none"/>
              </w:rPr>
              <w:t>小类（</w:t>
            </w:r>
            <w:r>
              <w:rPr>
                <w:rFonts w:hint="eastAsia"/>
                <w:b/>
                <w:spacing w:val="-10"/>
                <w:sz w:val="21"/>
                <w:highlight w:val="none"/>
              </w:rPr>
              <w:t>代码</w:t>
            </w:r>
            <w:r>
              <w:rPr>
                <w:rFonts w:hint="eastAsia"/>
                <w:b/>
                <w:sz w:val="21"/>
                <w:highlight w:val="none"/>
              </w:rPr>
              <w:t>及名称）</w:t>
            </w:r>
          </w:p>
        </w:tc>
        <w:tc>
          <w:tcPr>
            <w:tcW w:w="1100" w:type="dxa"/>
            <w:vAlign w:val="center"/>
          </w:tcPr>
          <w:p>
            <w:pPr>
              <w:pStyle w:val="46"/>
              <w:ind w:right="31"/>
              <w:rPr>
                <w:b/>
                <w:sz w:val="21"/>
                <w:highlight w:val="none"/>
              </w:rPr>
            </w:pPr>
            <w:r>
              <w:rPr>
                <w:rFonts w:hint="eastAsia"/>
                <w:b/>
                <w:sz w:val="21"/>
                <w:highlight w:val="none"/>
              </w:rPr>
              <w:t>产业存在状况</w:t>
            </w:r>
          </w:p>
        </w:tc>
        <w:tc>
          <w:tcPr>
            <w:tcW w:w="2000" w:type="dxa"/>
            <w:vAlign w:val="center"/>
          </w:tcPr>
          <w:p>
            <w:pPr>
              <w:pStyle w:val="46"/>
              <w:ind w:right="591"/>
              <w:rPr>
                <w:b/>
                <w:sz w:val="21"/>
                <w:highlight w:val="none"/>
                <w:lang w:eastAsia="zh-CN"/>
              </w:rPr>
            </w:pPr>
            <w:r>
              <w:rPr>
                <w:rFonts w:hint="eastAsia"/>
                <w:b/>
                <w:sz w:val="21"/>
                <w:highlight w:val="none"/>
                <w:lang w:eastAsia="zh-CN"/>
              </w:rPr>
              <w:t>管控要求</w:t>
            </w:r>
          </w:p>
        </w:tc>
        <w:tc>
          <w:tcPr>
            <w:tcW w:w="2153" w:type="dxa"/>
            <w:vAlign w:val="center"/>
          </w:tcPr>
          <w:p>
            <w:pPr>
              <w:pStyle w:val="46"/>
              <w:ind w:right="591"/>
              <w:rPr>
                <w:b/>
                <w:sz w:val="21"/>
                <w:highlight w:val="none"/>
              </w:rPr>
            </w:pPr>
            <w:r>
              <w:rPr>
                <w:rFonts w:hint="eastAsia"/>
                <w:b/>
                <w:sz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9739" w:type="dxa"/>
            <w:gridSpan w:val="8"/>
            <w:vAlign w:val="center"/>
          </w:tcPr>
          <w:p>
            <w:pPr>
              <w:pStyle w:val="46"/>
              <w:spacing w:before="10" w:line="264" w:lineRule="exact"/>
              <w:ind w:left="3648" w:right="3637"/>
              <w:rPr>
                <w:sz w:val="21"/>
                <w:highlight w:val="none"/>
              </w:rPr>
            </w:pPr>
            <w:r>
              <w:rPr>
                <w:rFonts w:hint="eastAsia"/>
                <w:sz w:val="21"/>
                <w:highlight w:val="none"/>
              </w:rPr>
              <w:t>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1" w:hRule="atLeast"/>
          <w:jc w:val="center"/>
        </w:trPr>
        <w:tc>
          <w:tcPr>
            <w:tcW w:w="416" w:type="dxa"/>
            <w:tcBorders>
              <w:right w:val="single" w:color="auto" w:sz="4" w:space="0"/>
            </w:tcBorders>
            <w:vAlign w:val="center"/>
          </w:tcPr>
          <w:p>
            <w:pPr>
              <w:pStyle w:val="46"/>
              <w:spacing w:before="1"/>
              <w:ind w:right="142"/>
              <w:rPr>
                <w:sz w:val="18"/>
                <w:szCs w:val="18"/>
                <w:highlight w:val="none"/>
              </w:rPr>
            </w:pPr>
            <w:r>
              <w:rPr>
                <w:rFonts w:hint="eastAsia"/>
                <w:sz w:val="18"/>
                <w:szCs w:val="18"/>
                <w:highlight w:val="none"/>
              </w:rPr>
              <w:t>1</w:t>
            </w:r>
          </w:p>
        </w:tc>
        <w:tc>
          <w:tcPr>
            <w:tcW w:w="988" w:type="dxa"/>
            <w:vMerge w:val="restart"/>
            <w:tcBorders>
              <w:top w:val="single" w:color="auto" w:sz="4" w:space="0"/>
              <w:left w:val="single" w:color="auto" w:sz="4" w:space="0"/>
              <w:right w:val="single" w:color="auto" w:sz="4" w:space="0"/>
            </w:tcBorders>
            <w:vAlign w:val="center"/>
          </w:tcPr>
          <w:p>
            <w:pPr>
              <w:pStyle w:val="46"/>
              <w:spacing w:line="213" w:lineRule="auto"/>
              <w:ind w:left="37" w:right="24" w:hanging="5"/>
              <w:rPr>
                <w:sz w:val="18"/>
                <w:szCs w:val="18"/>
                <w:highlight w:val="none"/>
              </w:rPr>
            </w:pPr>
            <w:r>
              <w:rPr>
                <w:rFonts w:hint="eastAsia"/>
                <w:sz w:val="18"/>
                <w:szCs w:val="18"/>
                <w:highlight w:val="none"/>
              </w:rPr>
              <w:t>A</w:t>
            </w:r>
            <w:r>
              <w:rPr>
                <w:rFonts w:hint="eastAsia"/>
                <w:spacing w:val="-3"/>
                <w:sz w:val="18"/>
                <w:szCs w:val="18"/>
                <w:highlight w:val="none"/>
              </w:rPr>
              <w:t>农、</w:t>
            </w:r>
            <w:r>
              <w:rPr>
                <w:rFonts w:hint="eastAsia"/>
                <w:sz w:val="18"/>
                <w:szCs w:val="18"/>
                <w:highlight w:val="none"/>
              </w:rPr>
              <w:t>林、</w:t>
            </w:r>
            <w:r>
              <w:rPr>
                <w:rFonts w:hint="eastAsia"/>
                <w:spacing w:val="-6"/>
                <w:sz w:val="18"/>
                <w:szCs w:val="18"/>
                <w:highlight w:val="none"/>
              </w:rPr>
              <w:t>牧、渔</w:t>
            </w:r>
            <w:r>
              <w:rPr>
                <w:rFonts w:hint="eastAsia"/>
                <w:sz w:val="18"/>
                <w:szCs w:val="18"/>
                <w:highlight w:val="none"/>
              </w:rPr>
              <w:t>业</w:t>
            </w:r>
          </w:p>
        </w:tc>
        <w:tc>
          <w:tcPr>
            <w:tcW w:w="1116" w:type="dxa"/>
            <w:vMerge w:val="restart"/>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49" w:right="103" w:hanging="132"/>
              <w:rPr>
                <w:sz w:val="18"/>
                <w:szCs w:val="18"/>
                <w:highlight w:val="none"/>
              </w:rPr>
            </w:pPr>
            <w:r>
              <w:rPr>
                <w:rFonts w:hint="eastAsia"/>
                <w:sz w:val="18"/>
                <w:szCs w:val="18"/>
                <w:highlight w:val="none"/>
              </w:rPr>
              <w:t>01农业</w:t>
            </w: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15" w:right="9" w:hanging="180"/>
              <w:rPr>
                <w:sz w:val="18"/>
                <w:szCs w:val="18"/>
                <w:highlight w:val="none"/>
              </w:rPr>
            </w:pPr>
            <w:r>
              <w:rPr>
                <w:rFonts w:hint="eastAsia"/>
                <w:sz w:val="18"/>
                <w:szCs w:val="18"/>
                <w:highlight w:val="none"/>
              </w:rPr>
              <w:t>011谷物种植</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 w:line="255" w:lineRule="exact"/>
              <w:ind w:left="90"/>
              <w:rPr>
                <w:sz w:val="18"/>
                <w:szCs w:val="18"/>
                <w:highlight w:val="none"/>
              </w:rPr>
            </w:pPr>
            <w:r>
              <w:rPr>
                <w:rFonts w:hint="eastAsia"/>
                <w:spacing w:val="-5"/>
                <w:sz w:val="18"/>
                <w:szCs w:val="18"/>
                <w:highlight w:val="none"/>
              </w:rPr>
              <w:t>0111</w:t>
            </w:r>
            <w:r>
              <w:rPr>
                <w:rFonts w:hint="eastAsia"/>
                <w:sz w:val="18"/>
                <w:szCs w:val="18"/>
                <w:highlight w:val="none"/>
              </w:rPr>
              <w:t>稻谷种植</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rPr>
                <w:sz w:val="18"/>
                <w:szCs w:val="18"/>
                <w:highlight w:val="none"/>
                <w:lang w:eastAsia="zh-CN"/>
              </w:rPr>
            </w:pPr>
            <w:r>
              <w:rPr>
                <w:rFonts w:hint="eastAsia"/>
                <w:sz w:val="18"/>
                <w:szCs w:val="18"/>
                <w:highlight w:val="none"/>
                <w:lang w:eastAsia="zh-CN"/>
              </w:rPr>
              <w:t>禁止在坡度大于25度的陡坡地开荒种植</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416" w:type="dxa"/>
            <w:tcBorders>
              <w:right w:val="single" w:color="auto" w:sz="4" w:space="0"/>
            </w:tcBorders>
            <w:vAlign w:val="center"/>
          </w:tcPr>
          <w:p>
            <w:pPr>
              <w:pStyle w:val="46"/>
              <w:ind w:right="142"/>
              <w:rPr>
                <w:sz w:val="18"/>
                <w:szCs w:val="18"/>
                <w:highlight w:val="none"/>
              </w:rPr>
            </w:pPr>
            <w:r>
              <w:rPr>
                <w:rFonts w:hint="eastAsia"/>
                <w:sz w:val="18"/>
                <w:szCs w:val="18"/>
                <w:highlight w:val="none"/>
              </w:rPr>
              <w:t>2</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before="1" w:line="255" w:lineRule="exact"/>
              <w:ind w:left="83"/>
              <w:rPr>
                <w:sz w:val="18"/>
                <w:szCs w:val="18"/>
                <w:highlight w:val="none"/>
                <w:lang w:eastAsia="zh-CN"/>
              </w:rPr>
            </w:pPr>
            <w:r>
              <w:rPr>
                <w:rFonts w:hint="eastAsia"/>
                <w:sz w:val="18"/>
                <w:szCs w:val="18"/>
                <w:highlight w:val="none"/>
                <w:lang w:eastAsia="zh-CN"/>
              </w:rPr>
              <w:t>013棉、麻、糖、烟草种植</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line="255" w:lineRule="exact"/>
              <w:rPr>
                <w:sz w:val="18"/>
                <w:szCs w:val="18"/>
                <w:highlight w:val="none"/>
              </w:rPr>
            </w:pPr>
            <w:r>
              <w:rPr>
                <w:rFonts w:hint="eastAsia"/>
                <w:sz w:val="18"/>
                <w:szCs w:val="18"/>
                <w:highlight w:val="none"/>
              </w:rPr>
              <w:t>0133糖料种植</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right="30"/>
              <w:rPr>
                <w:sz w:val="18"/>
                <w:szCs w:val="18"/>
                <w:highlight w:val="none"/>
              </w:rPr>
            </w:pPr>
            <w:r>
              <w:rPr>
                <w:rFonts w:hint="eastAsia"/>
                <w:sz w:val="18"/>
                <w:szCs w:val="18"/>
                <w:highlight w:val="none"/>
              </w:rPr>
              <w:t>现有主导产业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spacing w:before="1"/>
              <w:rPr>
                <w:sz w:val="18"/>
                <w:szCs w:val="18"/>
                <w:highlight w:val="none"/>
                <w:lang w:eastAsia="zh-CN"/>
              </w:rPr>
            </w:pPr>
            <w:r>
              <w:rPr>
                <w:rFonts w:hint="eastAsia"/>
                <w:sz w:val="18"/>
                <w:szCs w:val="18"/>
                <w:highlight w:val="none"/>
                <w:lang w:eastAsia="zh-CN"/>
              </w:rPr>
              <w:t>禁止在坡度大于25度的陡坡地开荒种植</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9" w:hRule="atLeast"/>
          <w:jc w:val="center"/>
        </w:trPr>
        <w:tc>
          <w:tcPr>
            <w:tcW w:w="416" w:type="dxa"/>
            <w:tcBorders>
              <w:right w:val="single" w:color="auto" w:sz="4" w:space="0"/>
            </w:tcBorders>
            <w:vAlign w:val="center"/>
          </w:tcPr>
          <w:p>
            <w:pPr>
              <w:pStyle w:val="46"/>
              <w:spacing w:before="1"/>
              <w:ind w:right="142"/>
              <w:rPr>
                <w:sz w:val="18"/>
                <w:szCs w:val="18"/>
                <w:highlight w:val="none"/>
              </w:rPr>
            </w:pPr>
            <w:r>
              <w:rPr>
                <w:rFonts w:hint="eastAsia"/>
                <w:sz w:val="18"/>
                <w:szCs w:val="18"/>
                <w:highlight w:val="none"/>
              </w:rPr>
              <w:t>3</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vMerge w:val="restart"/>
            <w:tcBorders>
              <w:top w:val="single" w:color="auto" w:sz="4" w:space="0"/>
              <w:left w:val="single" w:color="auto" w:sz="4" w:space="0"/>
              <w:bottom w:val="single" w:color="auto" w:sz="4" w:space="0"/>
              <w:right w:val="single" w:color="auto" w:sz="4" w:space="0"/>
            </w:tcBorders>
            <w:vAlign w:val="center"/>
          </w:tcPr>
          <w:p>
            <w:pPr>
              <w:pStyle w:val="46"/>
              <w:spacing w:line="255" w:lineRule="exact"/>
              <w:rPr>
                <w:sz w:val="18"/>
                <w:szCs w:val="18"/>
                <w:highlight w:val="none"/>
                <w:lang w:eastAsia="zh-CN"/>
              </w:rPr>
            </w:pPr>
            <w:r>
              <w:rPr>
                <w:rFonts w:hint="eastAsia"/>
                <w:sz w:val="18"/>
                <w:szCs w:val="18"/>
                <w:highlight w:val="none"/>
                <w:lang w:eastAsia="zh-CN"/>
              </w:rPr>
              <w:t>014蔬</w:t>
            </w:r>
          </w:p>
          <w:p>
            <w:pPr>
              <w:pStyle w:val="46"/>
              <w:spacing w:before="8" w:line="213" w:lineRule="auto"/>
              <w:ind w:left="109" w:right="96"/>
              <w:rPr>
                <w:sz w:val="18"/>
                <w:szCs w:val="18"/>
                <w:highlight w:val="none"/>
                <w:lang w:eastAsia="zh-CN"/>
              </w:rPr>
            </w:pPr>
            <w:r>
              <w:rPr>
                <w:rFonts w:hint="eastAsia"/>
                <w:spacing w:val="-6"/>
                <w:sz w:val="18"/>
                <w:szCs w:val="18"/>
                <w:highlight w:val="none"/>
                <w:lang w:eastAsia="zh-CN"/>
              </w:rPr>
              <w:t>菜、食用菌及园艺作物种植</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 w:line="255" w:lineRule="exact"/>
              <w:ind w:left="83"/>
              <w:rPr>
                <w:sz w:val="18"/>
                <w:szCs w:val="18"/>
                <w:highlight w:val="none"/>
              </w:rPr>
            </w:pPr>
            <w:r>
              <w:rPr>
                <w:rFonts w:hint="eastAsia"/>
                <w:sz w:val="18"/>
                <w:szCs w:val="18"/>
                <w:highlight w:val="none"/>
              </w:rPr>
              <w:t>0141蔬菜种植</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ind w:left="26"/>
              <w:rPr>
                <w:sz w:val="18"/>
                <w:szCs w:val="18"/>
                <w:highlight w:val="none"/>
                <w:lang w:eastAsia="zh-CN"/>
              </w:rPr>
            </w:pPr>
            <w:r>
              <w:rPr>
                <w:rFonts w:hint="eastAsia"/>
                <w:sz w:val="18"/>
                <w:szCs w:val="18"/>
                <w:highlight w:val="none"/>
                <w:lang w:eastAsia="zh-CN"/>
              </w:rPr>
              <w:t>禁止在坡度大于25度的陡坡地开荒种植</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4" w:hRule="atLeast"/>
          <w:jc w:val="center"/>
        </w:trPr>
        <w:tc>
          <w:tcPr>
            <w:tcW w:w="416" w:type="dxa"/>
            <w:tcBorders>
              <w:right w:val="single" w:color="auto" w:sz="4" w:space="0"/>
            </w:tcBorders>
            <w:vAlign w:val="center"/>
          </w:tcPr>
          <w:p>
            <w:pPr>
              <w:pStyle w:val="46"/>
              <w:ind w:right="142"/>
              <w:rPr>
                <w:sz w:val="18"/>
                <w:szCs w:val="18"/>
                <w:highlight w:val="none"/>
              </w:rPr>
            </w:pPr>
            <w:r>
              <w:rPr>
                <w:rFonts w:hint="eastAsia"/>
                <w:sz w:val="18"/>
                <w:szCs w:val="18"/>
                <w:highlight w:val="none"/>
              </w:rPr>
              <w:t>4</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0" w:line="255" w:lineRule="exact"/>
              <w:ind w:left="63" w:right="52"/>
              <w:rPr>
                <w:sz w:val="18"/>
                <w:szCs w:val="18"/>
                <w:highlight w:val="none"/>
              </w:rPr>
            </w:pPr>
            <w:r>
              <w:rPr>
                <w:rFonts w:hint="eastAsia"/>
                <w:sz w:val="18"/>
                <w:szCs w:val="18"/>
                <w:highlight w:val="none"/>
              </w:rPr>
              <w:t>0142食</w:t>
            </w:r>
          </w:p>
          <w:p>
            <w:pPr>
              <w:pStyle w:val="46"/>
              <w:spacing w:before="9" w:line="213" w:lineRule="auto"/>
              <w:ind w:left="107" w:right="98"/>
              <w:rPr>
                <w:sz w:val="18"/>
                <w:szCs w:val="18"/>
                <w:highlight w:val="none"/>
              </w:rPr>
            </w:pPr>
            <w:r>
              <w:rPr>
                <w:rFonts w:hint="eastAsia"/>
                <w:sz w:val="18"/>
                <w:szCs w:val="18"/>
                <w:highlight w:val="none"/>
              </w:rPr>
              <w:t>用菌种植</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before="153"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spacing w:before="1"/>
              <w:ind w:left="26"/>
              <w:rPr>
                <w:sz w:val="18"/>
                <w:szCs w:val="18"/>
                <w:highlight w:val="none"/>
                <w:lang w:eastAsia="zh-CN"/>
              </w:rPr>
            </w:pPr>
            <w:r>
              <w:rPr>
                <w:rFonts w:hint="eastAsia"/>
                <w:sz w:val="18"/>
                <w:szCs w:val="18"/>
                <w:highlight w:val="none"/>
                <w:lang w:eastAsia="zh-CN"/>
              </w:rPr>
              <w:t>禁止采伐水源涵养林种植食用菌</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153"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1" w:hRule="atLeast"/>
          <w:jc w:val="center"/>
        </w:trPr>
        <w:tc>
          <w:tcPr>
            <w:tcW w:w="416" w:type="dxa"/>
            <w:tcBorders>
              <w:right w:val="single" w:color="auto" w:sz="4" w:space="0"/>
            </w:tcBorders>
            <w:vAlign w:val="center"/>
          </w:tcPr>
          <w:p>
            <w:pPr>
              <w:pStyle w:val="46"/>
              <w:ind w:right="142"/>
              <w:rPr>
                <w:sz w:val="18"/>
                <w:szCs w:val="18"/>
                <w:highlight w:val="none"/>
              </w:rPr>
            </w:pPr>
            <w:r>
              <w:rPr>
                <w:rFonts w:hint="eastAsia"/>
                <w:sz w:val="18"/>
                <w:szCs w:val="18"/>
                <w:highlight w:val="none"/>
              </w:rPr>
              <w:t>5</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15" w:right="22" w:hanging="185"/>
              <w:rPr>
                <w:sz w:val="18"/>
                <w:szCs w:val="18"/>
                <w:highlight w:val="none"/>
              </w:rPr>
            </w:pPr>
            <w:r>
              <w:rPr>
                <w:rFonts w:hint="eastAsia"/>
                <w:sz w:val="18"/>
                <w:szCs w:val="18"/>
                <w:highlight w:val="none"/>
              </w:rPr>
              <w:t>015水果种植</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 w:line="255" w:lineRule="exact"/>
              <w:ind w:left="63" w:right="52"/>
              <w:rPr>
                <w:sz w:val="18"/>
                <w:szCs w:val="18"/>
                <w:highlight w:val="none"/>
              </w:rPr>
            </w:pPr>
            <w:r>
              <w:rPr>
                <w:rFonts w:hint="eastAsia"/>
                <w:sz w:val="18"/>
                <w:szCs w:val="18"/>
                <w:highlight w:val="none"/>
              </w:rPr>
              <w:t>0153柑橘类种植</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ind w:left="26"/>
              <w:rPr>
                <w:sz w:val="18"/>
                <w:szCs w:val="18"/>
                <w:highlight w:val="none"/>
                <w:lang w:eastAsia="zh-CN"/>
              </w:rPr>
            </w:pPr>
            <w:r>
              <w:rPr>
                <w:rFonts w:hint="eastAsia"/>
                <w:sz w:val="18"/>
                <w:szCs w:val="18"/>
                <w:highlight w:val="none"/>
                <w:lang w:eastAsia="zh-CN"/>
              </w:rPr>
              <w:t>禁止在坡度大于25度的陡坡地开荒种植</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6" w:hRule="atLeast"/>
          <w:jc w:val="center"/>
        </w:trPr>
        <w:tc>
          <w:tcPr>
            <w:tcW w:w="416" w:type="dxa"/>
            <w:tcBorders>
              <w:right w:val="single" w:color="auto" w:sz="4" w:space="0"/>
            </w:tcBorders>
            <w:vAlign w:val="center"/>
          </w:tcPr>
          <w:p>
            <w:pPr>
              <w:pStyle w:val="46"/>
              <w:spacing w:before="1"/>
              <w:ind w:right="142"/>
              <w:rPr>
                <w:sz w:val="18"/>
                <w:szCs w:val="18"/>
                <w:highlight w:val="none"/>
              </w:rPr>
            </w:pPr>
            <w:r>
              <w:rPr>
                <w:rFonts w:hint="eastAsia"/>
                <w:sz w:val="18"/>
                <w:szCs w:val="18"/>
                <w:highlight w:val="none"/>
              </w:rPr>
              <w:t>6</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109" w:right="22" w:hanging="80"/>
              <w:rPr>
                <w:sz w:val="18"/>
                <w:szCs w:val="18"/>
                <w:highlight w:val="none"/>
              </w:rPr>
            </w:pPr>
            <w:r>
              <w:rPr>
                <w:rFonts w:hint="eastAsia"/>
                <w:sz w:val="18"/>
                <w:szCs w:val="18"/>
                <w:highlight w:val="none"/>
              </w:rPr>
              <w:t>017中药材种植</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 w:line="255" w:lineRule="exact"/>
              <w:ind w:left="63" w:right="52"/>
              <w:rPr>
                <w:sz w:val="18"/>
                <w:szCs w:val="18"/>
                <w:highlight w:val="none"/>
              </w:rPr>
            </w:pPr>
            <w:r>
              <w:rPr>
                <w:rFonts w:hint="eastAsia"/>
                <w:sz w:val="18"/>
                <w:szCs w:val="18"/>
                <w:highlight w:val="none"/>
              </w:rPr>
              <w:t>0171中草药种植</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ind w:left="26"/>
              <w:rPr>
                <w:sz w:val="18"/>
                <w:szCs w:val="18"/>
                <w:highlight w:val="none"/>
                <w:lang w:eastAsia="zh-CN"/>
              </w:rPr>
            </w:pPr>
            <w:r>
              <w:rPr>
                <w:rFonts w:hint="eastAsia"/>
                <w:sz w:val="18"/>
                <w:szCs w:val="18"/>
                <w:highlight w:val="none"/>
                <w:lang w:eastAsia="zh-CN"/>
              </w:rPr>
              <w:t>禁止在坡度大于25度的陡坡地开荒种植</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jc w:val="center"/>
        </w:trPr>
        <w:tc>
          <w:tcPr>
            <w:tcW w:w="416" w:type="dxa"/>
            <w:tcBorders>
              <w:right w:val="single" w:color="auto" w:sz="4" w:space="0"/>
            </w:tcBorders>
            <w:vAlign w:val="center"/>
          </w:tcPr>
          <w:p>
            <w:pPr>
              <w:pStyle w:val="46"/>
              <w:spacing w:before="1"/>
              <w:ind w:right="142"/>
              <w:rPr>
                <w:sz w:val="18"/>
                <w:szCs w:val="18"/>
                <w:highlight w:val="none"/>
              </w:rPr>
            </w:pPr>
            <w:r>
              <w:rPr>
                <w:rFonts w:hint="eastAsia"/>
                <w:sz w:val="18"/>
                <w:szCs w:val="18"/>
                <w:highlight w:val="none"/>
              </w:rPr>
              <w:t>7</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49" w:right="103" w:hanging="132"/>
              <w:rPr>
                <w:sz w:val="18"/>
                <w:szCs w:val="18"/>
                <w:highlight w:val="none"/>
              </w:rPr>
            </w:pPr>
            <w:r>
              <w:rPr>
                <w:rFonts w:hint="eastAsia"/>
                <w:sz w:val="18"/>
                <w:szCs w:val="18"/>
                <w:highlight w:val="none"/>
              </w:rPr>
              <w:t>02林业</w:t>
            </w: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109" w:right="22" w:hanging="80"/>
              <w:rPr>
                <w:sz w:val="18"/>
                <w:szCs w:val="18"/>
                <w:highlight w:val="none"/>
              </w:rPr>
            </w:pPr>
            <w:r>
              <w:rPr>
                <w:rFonts w:hint="eastAsia"/>
                <w:sz w:val="18"/>
                <w:szCs w:val="18"/>
                <w:highlight w:val="none"/>
              </w:rPr>
              <w:t>025林产品采集</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109" w:right="22" w:hanging="80"/>
              <w:rPr>
                <w:sz w:val="18"/>
                <w:szCs w:val="18"/>
                <w:highlight w:val="none"/>
              </w:rPr>
            </w:pPr>
            <w:r>
              <w:rPr>
                <w:rFonts w:hint="eastAsia"/>
                <w:sz w:val="18"/>
                <w:szCs w:val="18"/>
                <w:highlight w:val="none"/>
              </w:rPr>
              <w:t>0252木竹材林产品采集</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ind w:left="26"/>
              <w:rPr>
                <w:sz w:val="18"/>
                <w:szCs w:val="18"/>
                <w:highlight w:val="none"/>
                <w:lang w:eastAsia="zh-CN"/>
              </w:rPr>
            </w:pPr>
            <w:r>
              <w:rPr>
                <w:rFonts w:hint="eastAsia"/>
                <w:sz w:val="18"/>
                <w:szCs w:val="18"/>
                <w:highlight w:val="none"/>
                <w:lang w:eastAsia="zh-CN"/>
              </w:rPr>
              <w:t>执行森林采伐限额管理制度</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不利于生态环境保护的开荒性农业开发项目为《指导目录》中限制类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0" w:hRule="atLeast"/>
          <w:jc w:val="center"/>
        </w:trPr>
        <w:tc>
          <w:tcPr>
            <w:tcW w:w="416" w:type="dxa"/>
            <w:tcBorders>
              <w:right w:val="single" w:color="auto" w:sz="4" w:space="0"/>
            </w:tcBorders>
            <w:vAlign w:val="center"/>
          </w:tcPr>
          <w:p>
            <w:pPr>
              <w:pStyle w:val="46"/>
              <w:ind w:right="142"/>
              <w:rPr>
                <w:sz w:val="18"/>
                <w:szCs w:val="18"/>
                <w:highlight w:val="none"/>
              </w:rPr>
            </w:pPr>
            <w:r>
              <w:rPr>
                <w:rFonts w:hint="eastAsia"/>
                <w:sz w:val="18"/>
                <w:szCs w:val="18"/>
                <w:highlight w:val="none"/>
              </w:rPr>
              <w:t>8</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restart"/>
            <w:tcBorders>
              <w:top w:val="single" w:color="auto" w:sz="4" w:space="0"/>
              <w:left w:val="single" w:color="auto" w:sz="4" w:space="0"/>
              <w:bottom w:val="single" w:color="auto" w:sz="4" w:space="0"/>
              <w:right w:val="single" w:color="auto" w:sz="4" w:space="0"/>
            </w:tcBorders>
            <w:vAlign w:val="center"/>
          </w:tcPr>
          <w:p>
            <w:pPr>
              <w:pStyle w:val="46"/>
              <w:spacing w:line="213" w:lineRule="auto"/>
              <w:ind w:left="143" w:right="103" w:hanging="27"/>
              <w:rPr>
                <w:sz w:val="18"/>
                <w:szCs w:val="18"/>
                <w:highlight w:val="none"/>
              </w:rPr>
            </w:pPr>
            <w:r>
              <w:rPr>
                <w:rFonts w:hint="eastAsia"/>
                <w:sz w:val="18"/>
                <w:szCs w:val="18"/>
                <w:highlight w:val="none"/>
              </w:rPr>
              <w:t>03畜牧业</w:t>
            </w: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15" w:right="22" w:hanging="185"/>
              <w:rPr>
                <w:sz w:val="18"/>
                <w:szCs w:val="18"/>
                <w:highlight w:val="none"/>
              </w:rPr>
            </w:pPr>
            <w:r>
              <w:rPr>
                <w:rFonts w:hint="eastAsia"/>
                <w:sz w:val="18"/>
                <w:szCs w:val="18"/>
                <w:highlight w:val="none"/>
              </w:rPr>
              <w:t>031牲畜养殖</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line="255" w:lineRule="exact"/>
              <w:ind w:left="83"/>
              <w:rPr>
                <w:sz w:val="18"/>
                <w:szCs w:val="18"/>
                <w:highlight w:val="none"/>
              </w:rPr>
            </w:pPr>
            <w:r>
              <w:rPr>
                <w:rFonts w:hint="eastAsia"/>
                <w:sz w:val="18"/>
                <w:szCs w:val="18"/>
                <w:highlight w:val="none"/>
              </w:rPr>
              <w:t>0313猪</w:t>
            </w:r>
          </w:p>
          <w:p>
            <w:pPr>
              <w:pStyle w:val="46"/>
              <w:spacing w:line="255" w:lineRule="exact"/>
              <w:ind w:left="107"/>
              <w:rPr>
                <w:sz w:val="18"/>
                <w:szCs w:val="18"/>
                <w:highlight w:val="none"/>
              </w:rPr>
            </w:pPr>
            <w:r>
              <w:rPr>
                <w:rFonts w:hint="eastAsia"/>
                <w:sz w:val="18"/>
                <w:szCs w:val="18"/>
                <w:highlight w:val="none"/>
              </w:rPr>
              <w:t>的饲养</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6" w:right="155"/>
              <w:rPr>
                <w:sz w:val="18"/>
                <w:szCs w:val="18"/>
                <w:highlight w:val="none"/>
                <w:lang w:eastAsia="zh-CN"/>
              </w:rPr>
            </w:pPr>
            <w:r>
              <w:rPr>
                <w:rFonts w:hint="eastAsia"/>
                <w:sz w:val="18"/>
                <w:szCs w:val="18"/>
                <w:highlight w:val="none"/>
                <w:lang w:eastAsia="zh-CN"/>
              </w:rPr>
              <w:t>禁止在境内主要江河干流沿岸两侧500米范围内建立猪饲养场</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4"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不利于生态环境保护的开荒性农业开发项目为</w:t>
            </w:r>
          </w:p>
          <w:p>
            <w:pPr>
              <w:pStyle w:val="46"/>
              <w:spacing w:before="2"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4" w:hRule="atLeast"/>
          <w:jc w:val="center"/>
        </w:trPr>
        <w:tc>
          <w:tcPr>
            <w:tcW w:w="416" w:type="dxa"/>
            <w:tcBorders>
              <w:right w:val="single" w:color="auto" w:sz="4" w:space="0"/>
            </w:tcBorders>
            <w:vAlign w:val="center"/>
          </w:tcPr>
          <w:p>
            <w:pPr>
              <w:pStyle w:val="46"/>
              <w:spacing w:before="1"/>
              <w:ind w:right="142"/>
              <w:rPr>
                <w:sz w:val="18"/>
                <w:szCs w:val="18"/>
                <w:highlight w:val="none"/>
              </w:rPr>
            </w:pPr>
            <w:r>
              <w:rPr>
                <w:rFonts w:hint="eastAsia"/>
                <w:sz w:val="18"/>
                <w:szCs w:val="18"/>
                <w:highlight w:val="none"/>
              </w:rPr>
              <w:t>9</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15" w:right="22" w:hanging="185"/>
              <w:rPr>
                <w:sz w:val="18"/>
                <w:szCs w:val="18"/>
                <w:highlight w:val="none"/>
              </w:rPr>
            </w:pPr>
            <w:r>
              <w:rPr>
                <w:rFonts w:hint="eastAsia"/>
                <w:sz w:val="18"/>
                <w:szCs w:val="18"/>
                <w:highlight w:val="none"/>
              </w:rPr>
              <w:t>032家禽养殖</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 w:line="255" w:lineRule="exact"/>
              <w:ind w:left="83"/>
              <w:rPr>
                <w:sz w:val="18"/>
                <w:szCs w:val="18"/>
                <w:highlight w:val="none"/>
              </w:rPr>
            </w:pPr>
            <w:r>
              <w:rPr>
                <w:rFonts w:hint="eastAsia"/>
                <w:sz w:val="18"/>
                <w:szCs w:val="18"/>
                <w:highlight w:val="none"/>
              </w:rPr>
              <w:t>0321鸡</w:t>
            </w:r>
          </w:p>
          <w:p>
            <w:pPr>
              <w:pStyle w:val="46"/>
              <w:spacing w:line="255" w:lineRule="exact"/>
              <w:ind w:left="107"/>
              <w:rPr>
                <w:sz w:val="18"/>
                <w:szCs w:val="18"/>
                <w:highlight w:val="none"/>
              </w:rPr>
            </w:pPr>
            <w:r>
              <w:rPr>
                <w:rFonts w:hint="eastAsia"/>
                <w:sz w:val="18"/>
                <w:szCs w:val="18"/>
                <w:highlight w:val="none"/>
              </w:rPr>
              <w:t>的养殖</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spacing w:line="213" w:lineRule="auto"/>
              <w:ind w:left="26" w:right="155"/>
              <w:rPr>
                <w:sz w:val="18"/>
                <w:szCs w:val="18"/>
                <w:highlight w:val="none"/>
                <w:lang w:eastAsia="zh-CN"/>
              </w:rPr>
            </w:pPr>
            <w:r>
              <w:rPr>
                <w:rFonts w:hint="eastAsia"/>
                <w:sz w:val="18"/>
                <w:szCs w:val="18"/>
                <w:highlight w:val="none"/>
                <w:lang w:eastAsia="zh-CN"/>
              </w:rPr>
              <w:t>禁止在境内主要江河干流沿岸两侧500米范围内建立</w:t>
            </w:r>
            <w:r>
              <w:rPr>
                <w:rFonts w:hint="eastAsia"/>
                <w:sz w:val="18"/>
                <w:szCs w:val="18"/>
                <w:highlight w:val="none"/>
                <w:lang w:val="en-US" w:eastAsia="zh-CN"/>
              </w:rPr>
              <w:t>鸡</w:t>
            </w:r>
            <w:r>
              <w:rPr>
                <w:rFonts w:hint="eastAsia"/>
                <w:sz w:val="18"/>
                <w:szCs w:val="18"/>
                <w:highlight w:val="none"/>
                <w:lang w:eastAsia="zh-CN"/>
              </w:rPr>
              <w:t>饲养场</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不利于生态环境保护的开荒性农业开发项目为</w:t>
            </w:r>
          </w:p>
          <w:p>
            <w:pPr>
              <w:pStyle w:val="46"/>
              <w:spacing w:before="2"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20" w:hRule="atLeast"/>
          <w:jc w:val="center"/>
        </w:trPr>
        <w:tc>
          <w:tcPr>
            <w:tcW w:w="416" w:type="dxa"/>
            <w:tcBorders>
              <w:right w:val="single" w:color="auto" w:sz="4" w:space="0"/>
            </w:tcBorders>
            <w:vAlign w:val="center"/>
          </w:tcPr>
          <w:p>
            <w:pPr>
              <w:pStyle w:val="46"/>
              <w:ind w:right="89"/>
              <w:rPr>
                <w:sz w:val="18"/>
                <w:szCs w:val="18"/>
                <w:highlight w:val="none"/>
              </w:rPr>
            </w:pPr>
            <w:r>
              <w:rPr>
                <w:rFonts w:hint="eastAsia"/>
                <w:sz w:val="18"/>
                <w:szCs w:val="18"/>
                <w:highlight w:val="none"/>
              </w:rPr>
              <w:t>10</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vAlign w:val="center"/>
          </w:tcPr>
          <w:p>
            <w:pPr>
              <w:pStyle w:val="46"/>
              <w:spacing w:before="153" w:line="213" w:lineRule="auto"/>
              <w:ind w:left="215" w:right="22" w:hanging="185"/>
              <w:rPr>
                <w:sz w:val="18"/>
                <w:szCs w:val="18"/>
                <w:highlight w:val="none"/>
              </w:rPr>
            </w:pPr>
            <w:r>
              <w:rPr>
                <w:rFonts w:hint="eastAsia"/>
                <w:sz w:val="18"/>
                <w:szCs w:val="18"/>
                <w:highlight w:val="none"/>
              </w:rPr>
              <w:t>032家禽养殖</w:t>
            </w:r>
          </w:p>
        </w:tc>
        <w:tc>
          <w:tcPr>
            <w:tcW w:w="1016" w:type="dxa"/>
            <w:tcBorders>
              <w:top w:val="single" w:color="auto" w:sz="4" w:space="0"/>
              <w:left w:val="single" w:color="auto" w:sz="4" w:space="0"/>
              <w:bottom w:val="single" w:color="auto" w:sz="4" w:space="0"/>
              <w:right w:val="single" w:color="auto" w:sz="4" w:space="0"/>
            </w:tcBorders>
            <w:vAlign w:val="center"/>
          </w:tcPr>
          <w:p>
            <w:pPr>
              <w:pStyle w:val="46"/>
              <w:spacing w:before="130" w:line="254" w:lineRule="exact"/>
              <w:ind w:left="83"/>
              <w:rPr>
                <w:sz w:val="18"/>
                <w:szCs w:val="18"/>
                <w:highlight w:val="none"/>
              </w:rPr>
            </w:pPr>
            <w:r>
              <w:rPr>
                <w:rFonts w:hint="eastAsia"/>
                <w:sz w:val="18"/>
                <w:szCs w:val="18"/>
                <w:highlight w:val="none"/>
              </w:rPr>
              <w:t>0322鸭</w:t>
            </w:r>
          </w:p>
          <w:p>
            <w:pPr>
              <w:pStyle w:val="46"/>
              <w:spacing w:line="254" w:lineRule="exact"/>
              <w:ind w:left="107"/>
              <w:rPr>
                <w:sz w:val="18"/>
                <w:szCs w:val="18"/>
                <w:highlight w:val="none"/>
              </w:rPr>
            </w:pPr>
            <w:r>
              <w:rPr>
                <w:rFonts w:hint="eastAsia"/>
                <w:sz w:val="18"/>
                <w:szCs w:val="18"/>
                <w:highlight w:val="none"/>
              </w:rPr>
              <w:t>的养殖</w:t>
            </w:r>
          </w:p>
        </w:tc>
        <w:tc>
          <w:tcPr>
            <w:tcW w:w="1100" w:type="dxa"/>
            <w:tcBorders>
              <w:top w:val="single" w:color="auto" w:sz="4" w:space="0"/>
              <w:left w:val="single" w:color="auto" w:sz="4" w:space="0"/>
              <w:bottom w:val="single" w:color="auto" w:sz="4" w:space="0"/>
              <w:right w:val="single" w:color="auto" w:sz="4" w:space="0"/>
            </w:tcBorders>
            <w:vAlign w:val="center"/>
          </w:tcPr>
          <w:p>
            <w:pPr>
              <w:pStyle w:val="46"/>
              <w:spacing w:before="153" w:line="213" w:lineRule="auto"/>
              <w:ind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vAlign w:val="center"/>
          </w:tcPr>
          <w:p>
            <w:pPr>
              <w:pStyle w:val="46"/>
              <w:spacing w:before="153" w:line="213" w:lineRule="auto"/>
              <w:ind w:right="155"/>
              <w:rPr>
                <w:sz w:val="18"/>
                <w:szCs w:val="18"/>
                <w:highlight w:val="none"/>
                <w:lang w:eastAsia="zh-CN"/>
              </w:rPr>
            </w:pPr>
            <w:r>
              <w:rPr>
                <w:rFonts w:hint="eastAsia"/>
                <w:sz w:val="18"/>
                <w:szCs w:val="18"/>
                <w:highlight w:val="none"/>
                <w:lang w:eastAsia="zh-CN"/>
              </w:rPr>
              <w:t>禁止在境内主要江河干流沿岸两侧500米范围内建立</w:t>
            </w:r>
            <w:r>
              <w:rPr>
                <w:rFonts w:hint="eastAsia"/>
                <w:sz w:val="18"/>
                <w:szCs w:val="18"/>
                <w:highlight w:val="none"/>
                <w:lang w:val="en-US" w:eastAsia="zh-CN"/>
              </w:rPr>
              <w:t>鸭</w:t>
            </w:r>
            <w:r>
              <w:rPr>
                <w:rFonts w:hint="eastAsia"/>
                <w:sz w:val="18"/>
                <w:szCs w:val="18"/>
                <w:highlight w:val="none"/>
                <w:lang w:eastAsia="zh-CN"/>
              </w:rPr>
              <w:t>饲养场</w:t>
            </w:r>
          </w:p>
        </w:tc>
        <w:tc>
          <w:tcPr>
            <w:tcW w:w="2153" w:type="dxa"/>
            <w:tcBorders>
              <w:top w:val="single" w:color="auto" w:sz="4" w:space="0"/>
              <w:left w:val="single" w:color="auto" w:sz="4" w:space="0"/>
              <w:bottom w:val="single" w:color="auto" w:sz="4" w:space="0"/>
              <w:right w:val="single" w:color="auto" w:sz="4" w:space="0"/>
            </w:tcBorders>
            <w:vAlign w:val="center"/>
          </w:tcPr>
          <w:p>
            <w:pPr>
              <w:pStyle w:val="46"/>
              <w:spacing w:before="33" w:line="213" w:lineRule="auto"/>
              <w:ind w:left="90" w:right="82"/>
              <w:rPr>
                <w:sz w:val="18"/>
                <w:szCs w:val="18"/>
                <w:highlight w:val="none"/>
                <w:lang w:eastAsia="zh-CN"/>
              </w:rPr>
            </w:pPr>
            <w:r>
              <w:rPr>
                <w:rFonts w:hint="eastAsia"/>
                <w:sz w:val="18"/>
                <w:szCs w:val="18"/>
                <w:highlight w:val="none"/>
                <w:lang w:eastAsia="zh-CN"/>
              </w:rPr>
              <w:t>不利于生态环境保护的开荒性农业开发项目为《指导目录》中限制类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vAlign w:val="center"/>
          </w:tcPr>
          <w:p>
            <w:pPr>
              <w:pStyle w:val="46"/>
              <w:ind w:right="89"/>
              <w:rPr>
                <w:sz w:val="18"/>
                <w:szCs w:val="18"/>
                <w:highlight w:val="none"/>
                <w:lang w:eastAsia="zh-CN"/>
              </w:rPr>
            </w:pPr>
            <w:r>
              <w:rPr>
                <w:rFonts w:hint="eastAsia"/>
                <w:sz w:val="18"/>
                <w:szCs w:val="18"/>
                <w:highlight w:val="none"/>
                <w:lang w:eastAsia="zh-CN"/>
              </w:rPr>
              <w:t>11</w:t>
            </w:r>
          </w:p>
        </w:tc>
        <w:tc>
          <w:tcPr>
            <w:tcW w:w="988" w:type="dxa"/>
            <w:vMerge w:val="continue"/>
            <w:tcBorders>
              <w:left w:val="single" w:color="auto" w:sz="4" w:space="0"/>
              <w:right w:val="single" w:color="auto" w:sz="4" w:space="0"/>
            </w:tcBorders>
            <w:vAlign w:val="center"/>
          </w:tcPr>
          <w:p>
            <w:pPr>
              <w:jc w:val="center"/>
              <w:rPr>
                <w:sz w:val="18"/>
                <w:szCs w:val="18"/>
                <w:highlight w:val="none"/>
              </w:rPr>
            </w:pP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249" w:right="103" w:hanging="132"/>
              <w:rPr>
                <w:sz w:val="18"/>
                <w:szCs w:val="18"/>
                <w:highlight w:val="none"/>
              </w:rPr>
            </w:pPr>
            <w:r>
              <w:rPr>
                <w:rFonts w:hint="eastAsia"/>
                <w:sz w:val="18"/>
                <w:szCs w:val="18"/>
                <w:highlight w:val="none"/>
              </w:rPr>
              <w:t>04渔业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215" w:right="22" w:hanging="185"/>
              <w:rPr>
                <w:sz w:val="18"/>
                <w:szCs w:val="18"/>
                <w:highlight w:val="none"/>
              </w:rPr>
            </w:pPr>
            <w:r>
              <w:rPr>
                <w:rFonts w:hint="eastAsia"/>
                <w:sz w:val="18"/>
                <w:szCs w:val="18"/>
                <w:highlight w:val="none"/>
              </w:rPr>
              <w:t>041水产养殖</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30" w:line="255" w:lineRule="exact"/>
              <w:ind w:left="83"/>
              <w:rPr>
                <w:sz w:val="18"/>
                <w:szCs w:val="18"/>
                <w:highlight w:val="none"/>
              </w:rPr>
            </w:pPr>
            <w:r>
              <w:rPr>
                <w:rFonts w:hint="eastAsia"/>
                <w:sz w:val="18"/>
                <w:szCs w:val="18"/>
                <w:highlight w:val="none"/>
              </w:rPr>
              <w:t>0412内</w:t>
            </w:r>
          </w:p>
          <w:p>
            <w:pPr>
              <w:pStyle w:val="46"/>
              <w:spacing w:line="255" w:lineRule="exact"/>
              <w:ind w:left="107"/>
              <w:rPr>
                <w:sz w:val="18"/>
                <w:szCs w:val="18"/>
                <w:highlight w:val="none"/>
              </w:rPr>
            </w:pPr>
            <w:r>
              <w:rPr>
                <w:rFonts w:hint="eastAsia"/>
                <w:sz w:val="18"/>
                <w:szCs w:val="18"/>
                <w:highlight w:val="none"/>
              </w:rPr>
              <w:t>陆养殖</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7"/>
              </w:numPr>
              <w:tabs>
                <w:tab w:val="left" w:pos="186"/>
              </w:tabs>
              <w:spacing w:before="33" w:line="213" w:lineRule="auto"/>
              <w:ind w:right="60" w:firstLine="0"/>
              <w:rPr>
                <w:sz w:val="18"/>
                <w:szCs w:val="18"/>
                <w:highlight w:val="none"/>
                <w:lang w:eastAsia="zh-CN"/>
              </w:rPr>
            </w:pPr>
            <w:r>
              <w:rPr>
                <w:rFonts w:hint="eastAsia"/>
                <w:spacing w:val="-4"/>
                <w:sz w:val="18"/>
                <w:szCs w:val="18"/>
                <w:highlight w:val="none"/>
                <w:lang w:eastAsia="zh-CN"/>
              </w:rPr>
              <w:t>禁止在水源保护区内干流河道进行网箱</w:t>
            </w:r>
            <w:r>
              <w:rPr>
                <w:rFonts w:hint="eastAsia"/>
                <w:sz w:val="18"/>
                <w:szCs w:val="18"/>
                <w:highlight w:val="none"/>
                <w:lang w:eastAsia="zh-CN"/>
              </w:rPr>
              <w:t>养鱼；</w:t>
            </w:r>
          </w:p>
          <w:p>
            <w:pPr>
              <w:pStyle w:val="46"/>
              <w:numPr>
                <w:ilvl w:val="0"/>
                <w:numId w:val="7"/>
              </w:numPr>
              <w:tabs>
                <w:tab w:val="left" w:pos="186"/>
              </w:tabs>
              <w:spacing w:line="242" w:lineRule="exact"/>
              <w:ind w:left="185"/>
              <w:rPr>
                <w:sz w:val="18"/>
                <w:szCs w:val="18"/>
                <w:highlight w:val="none"/>
                <w:lang w:eastAsia="zh-CN"/>
              </w:rPr>
            </w:pPr>
            <w:r>
              <w:rPr>
                <w:rFonts w:hint="eastAsia"/>
                <w:spacing w:val="-3"/>
                <w:sz w:val="18"/>
                <w:szCs w:val="18"/>
                <w:highlight w:val="none"/>
                <w:lang w:eastAsia="zh-CN"/>
              </w:rPr>
              <w:t>禁止占用永久基本农田挖塘养鱼</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ind w:left="102"/>
              <w:rPr>
                <w:sz w:val="18"/>
                <w:szCs w:val="18"/>
                <w:highlight w:val="none"/>
                <w:lang w:eastAsia="zh-CN"/>
              </w:rPr>
            </w:pPr>
            <w:r>
              <w:rPr>
                <w:rFonts w:hint="eastAsia"/>
                <w:sz w:val="18"/>
                <w:szCs w:val="18"/>
                <w:highlight w:val="none"/>
              </w:rPr>
              <w:t>12</w:t>
            </w:r>
          </w:p>
        </w:tc>
        <w:tc>
          <w:tcPr>
            <w:tcW w:w="988" w:type="dxa"/>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r>
              <w:rPr>
                <w:rFonts w:hint="eastAsia"/>
                <w:sz w:val="18"/>
                <w:szCs w:val="18"/>
                <w:highlight w:val="none"/>
              </w:rPr>
              <w:t>B采矿业</w:t>
            </w: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13" w:lineRule="auto"/>
              <w:ind w:left="37" w:right="24" w:firstLine="79"/>
              <w:rPr>
                <w:sz w:val="18"/>
                <w:szCs w:val="18"/>
                <w:highlight w:val="none"/>
              </w:rPr>
            </w:pPr>
            <w:r>
              <w:rPr>
                <w:rFonts w:hint="eastAsia"/>
                <w:sz w:val="18"/>
                <w:szCs w:val="18"/>
                <w:highlight w:val="none"/>
              </w:rPr>
              <w:t>10非金属矿采选业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13" w:lineRule="auto"/>
              <w:ind w:left="109" w:right="22" w:hanging="80"/>
              <w:rPr>
                <w:sz w:val="18"/>
                <w:szCs w:val="18"/>
                <w:highlight w:val="none"/>
              </w:rPr>
            </w:pPr>
            <w:r>
              <w:rPr>
                <w:rFonts w:hint="eastAsia"/>
                <w:sz w:val="18"/>
                <w:szCs w:val="18"/>
                <w:highlight w:val="none"/>
              </w:rPr>
              <w:t>101土砂石开采</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55" w:lineRule="exact"/>
              <w:ind w:left="62" w:right="53"/>
              <w:rPr>
                <w:sz w:val="18"/>
                <w:szCs w:val="18"/>
                <w:highlight w:val="none"/>
              </w:rPr>
            </w:pPr>
            <w:r>
              <w:rPr>
                <w:rFonts w:hint="eastAsia"/>
                <w:sz w:val="18"/>
                <w:szCs w:val="18"/>
                <w:highlight w:val="none"/>
              </w:rPr>
              <w:t>1011石灰石、石膏开采</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26" w:right="60"/>
              <w:rPr>
                <w:sz w:val="18"/>
                <w:szCs w:val="18"/>
                <w:highlight w:val="none"/>
                <w:lang w:eastAsia="zh-CN"/>
              </w:rPr>
            </w:pPr>
            <w:r>
              <w:rPr>
                <w:rFonts w:hint="eastAsia"/>
                <w:sz w:val="18"/>
                <w:szCs w:val="18"/>
                <w:highlight w:val="none"/>
                <w:lang w:eastAsia="zh-CN"/>
              </w:rPr>
              <w:t>1.</w:t>
            </w:r>
            <w:r>
              <w:rPr>
                <w:rFonts w:hint="eastAsia"/>
                <w:spacing w:val="-3"/>
                <w:sz w:val="18"/>
                <w:szCs w:val="18"/>
                <w:highlight w:val="none"/>
                <w:lang w:eastAsia="zh-CN"/>
              </w:rPr>
              <w:t>禁止违反产业政策、国土空间规划</w:t>
            </w:r>
            <w:r>
              <w:rPr>
                <w:rFonts w:hint="eastAsia"/>
                <w:sz w:val="18"/>
                <w:szCs w:val="18"/>
                <w:highlight w:val="none"/>
                <w:lang w:eastAsia="zh-CN"/>
              </w:rPr>
              <w:t>（</w:t>
            </w:r>
            <w:r>
              <w:rPr>
                <w:rFonts w:hint="eastAsia"/>
                <w:spacing w:val="-13"/>
                <w:sz w:val="18"/>
                <w:szCs w:val="18"/>
                <w:highlight w:val="none"/>
                <w:lang w:eastAsia="zh-CN"/>
              </w:rPr>
              <w:t>含</w:t>
            </w:r>
            <w:r>
              <w:rPr>
                <w:rFonts w:hint="eastAsia"/>
                <w:spacing w:val="-3"/>
                <w:sz w:val="18"/>
                <w:szCs w:val="18"/>
                <w:highlight w:val="none"/>
                <w:lang w:eastAsia="zh-CN"/>
              </w:rPr>
              <w:t>矿产资源总体规划）布局新采矿项目；2.</w:t>
            </w:r>
            <w:r>
              <w:rPr>
                <w:rFonts w:hint="eastAsia"/>
                <w:spacing w:val="-4"/>
                <w:sz w:val="18"/>
                <w:szCs w:val="18"/>
                <w:highlight w:val="none"/>
                <w:lang w:eastAsia="zh-CN"/>
              </w:rPr>
              <w:t>符合产业转型升级政策和高质量发展要</w:t>
            </w:r>
            <w:r>
              <w:rPr>
                <w:rFonts w:hint="eastAsia"/>
                <w:spacing w:val="-3"/>
                <w:sz w:val="18"/>
                <w:szCs w:val="18"/>
                <w:highlight w:val="none"/>
                <w:lang w:eastAsia="zh-CN"/>
              </w:rPr>
              <w:t>求，有利于产业转型升级、精细加工、延伸产业链、高附加值高质量发展，实现矿产资源可持续利用；</w:t>
            </w:r>
          </w:p>
          <w:p>
            <w:pPr>
              <w:pStyle w:val="46"/>
              <w:spacing w:before="4" w:line="213" w:lineRule="auto"/>
              <w:ind w:left="26" w:right="60"/>
              <w:rPr>
                <w:sz w:val="18"/>
                <w:szCs w:val="18"/>
                <w:highlight w:val="none"/>
                <w:lang w:eastAsia="zh-CN"/>
              </w:rPr>
            </w:pPr>
            <w:r>
              <w:rPr>
                <w:rFonts w:hint="eastAsia"/>
                <w:sz w:val="18"/>
                <w:szCs w:val="18"/>
                <w:highlight w:val="none"/>
                <w:lang w:eastAsia="zh-CN"/>
              </w:rPr>
              <w:t>3.未达到清洁生产国内先进水平的企业，应按照国家和自治区生态环境保护政</w:t>
            </w:r>
            <w:r>
              <w:rPr>
                <w:rFonts w:hint="eastAsia"/>
                <w:spacing w:val="-3"/>
                <w:sz w:val="18"/>
                <w:szCs w:val="18"/>
                <w:highlight w:val="none"/>
                <w:lang w:eastAsia="zh-CN"/>
              </w:rPr>
              <w:t>策、产业政策有关要求完成升级改造；4.</w:t>
            </w:r>
            <w:r>
              <w:rPr>
                <w:rFonts w:hint="eastAsia"/>
                <w:spacing w:val="-4"/>
                <w:sz w:val="18"/>
                <w:szCs w:val="18"/>
                <w:highlight w:val="none"/>
                <w:lang w:eastAsia="zh-CN"/>
              </w:rPr>
              <w:t>项目对生态造成破坏的，应立即开展土</w:t>
            </w:r>
            <w:r>
              <w:rPr>
                <w:rFonts w:hint="eastAsia"/>
                <w:spacing w:val="-3"/>
                <w:sz w:val="18"/>
                <w:szCs w:val="18"/>
                <w:highlight w:val="none"/>
                <w:lang w:eastAsia="zh-CN"/>
              </w:rPr>
              <w:t>壤污染情况评估和治理，并限期完成水土流失治理和生态修复；现有历史遗留废弃矿山，应当按照各级国土空间生态修复规划等相关规划要求，限期完成生态修复；位于水土流失重点治理区、生态问题突出区的现有项目应按照国家和自治区生态环境保护政策、产业政策有关要求退出，并对尾矿库消除安全隐患和污染风险，推进资源综合利用和生态修复</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44"/>
              <w:ind w:left="102"/>
              <w:rPr>
                <w:sz w:val="18"/>
                <w:szCs w:val="18"/>
                <w:highlight w:val="none"/>
              </w:rPr>
            </w:pPr>
            <w:r>
              <w:rPr>
                <w:rFonts w:hint="eastAsia"/>
                <w:sz w:val="18"/>
                <w:szCs w:val="18"/>
                <w:highlight w:val="none"/>
              </w:rPr>
              <w:t>14</w:t>
            </w:r>
          </w:p>
        </w:tc>
        <w:tc>
          <w:tcPr>
            <w:tcW w:w="988" w:type="dxa"/>
            <w:vMerge w:val="restart"/>
            <w:tcBorders>
              <w:left w:val="single" w:color="auto" w:sz="4" w:space="0"/>
              <w:right w:val="single" w:color="auto" w:sz="4" w:space="0"/>
            </w:tcBorders>
            <w:shd w:val="clear" w:color="auto" w:fill="auto"/>
            <w:vAlign w:val="center"/>
          </w:tcPr>
          <w:p>
            <w:pPr>
              <w:pStyle w:val="46"/>
              <w:spacing w:line="213" w:lineRule="auto"/>
              <w:ind w:left="246" w:right="36" w:hanging="200"/>
              <w:rPr>
                <w:sz w:val="18"/>
                <w:szCs w:val="18"/>
                <w:highlight w:val="none"/>
              </w:rPr>
            </w:pPr>
            <w:r>
              <w:rPr>
                <w:rFonts w:hint="eastAsia"/>
                <w:sz w:val="18"/>
                <w:szCs w:val="18"/>
                <w:highlight w:val="none"/>
              </w:rPr>
              <w:t>C制造业</w:t>
            </w:r>
          </w:p>
        </w:tc>
        <w:tc>
          <w:tcPr>
            <w:tcW w:w="1116" w:type="dxa"/>
            <w:vMerge w:val="restart"/>
            <w:tcBorders>
              <w:top w:val="single" w:color="auto" w:sz="4" w:space="0"/>
              <w:left w:val="single" w:color="auto" w:sz="4" w:space="0"/>
              <w:right w:val="single" w:color="auto" w:sz="4" w:space="0"/>
            </w:tcBorders>
            <w:shd w:val="clear" w:color="auto" w:fill="auto"/>
            <w:vAlign w:val="center"/>
          </w:tcPr>
          <w:p>
            <w:pPr>
              <w:pStyle w:val="46"/>
              <w:spacing w:before="1" w:line="213" w:lineRule="auto"/>
              <w:ind w:left="37" w:right="24" w:firstLine="79"/>
              <w:rPr>
                <w:sz w:val="18"/>
                <w:szCs w:val="18"/>
                <w:highlight w:val="none"/>
              </w:rPr>
            </w:pPr>
            <w:r>
              <w:rPr>
                <w:rFonts w:hint="eastAsia"/>
                <w:sz w:val="18"/>
                <w:szCs w:val="18"/>
                <w:highlight w:val="none"/>
              </w:rPr>
              <w:t>13农副食品加工业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318" w:right="22" w:hanging="288"/>
              <w:rPr>
                <w:sz w:val="18"/>
                <w:szCs w:val="18"/>
                <w:highlight w:val="none"/>
              </w:rPr>
            </w:pPr>
            <w:r>
              <w:rPr>
                <w:rFonts w:hint="eastAsia"/>
                <w:sz w:val="18"/>
                <w:szCs w:val="18"/>
                <w:highlight w:val="none"/>
              </w:rPr>
              <w:t>134制糖业</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0" w:line="255" w:lineRule="exact"/>
              <w:ind w:left="63" w:right="52"/>
              <w:rPr>
                <w:sz w:val="18"/>
                <w:szCs w:val="18"/>
                <w:highlight w:val="none"/>
              </w:rPr>
            </w:pPr>
            <w:r>
              <w:rPr>
                <w:rFonts w:hint="eastAsia"/>
                <w:sz w:val="18"/>
                <w:szCs w:val="18"/>
                <w:highlight w:val="none"/>
              </w:rPr>
              <w:t>1340制</w:t>
            </w:r>
          </w:p>
          <w:p>
            <w:pPr>
              <w:pStyle w:val="46"/>
              <w:spacing w:line="250" w:lineRule="exact"/>
              <w:ind w:left="61" w:right="53"/>
              <w:rPr>
                <w:sz w:val="18"/>
                <w:szCs w:val="18"/>
                <w:highlight w:val="none"/>
              </w:rPr>
            </w:pPr>
            <w:r>
              <w:rPr>
                <w:rFonts w:hint="eastAsia"/>
                <w:sz w:val="18"/>
                <w:szCs w:val="18"/>
                <w:highlight w:val="none"/>
              </w:rPr>
              <w:t>糖业</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26" w:right="218"/>
              <w:rPr>
                <w:sz w:val="18"/>
                <w:szCs w:val="18"/>
                <w:highlight w:val="none"/>
                <w:lang w:eastAsia="zh-CN"/>
              </w:rPr>
            </w:pPr>
            <w:r>
              <w:rPr>
                <w:rFonts w:hint="eastAsia"/>
                <w:sz w:val="18"/>
                <w:szCs w:val="18"/>
                <w:highlight w:val="none"/>
                <w:lang w:eastAsia="zh-CN"/>
              </w:rPr>
              <w:t>新项目入园区发展，对现有企业进行环保措施改造升级</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ind w:left="102"/>
              <w:rPr>
                <w:sz w:val="18"/>
                <w:szCs w:val="18"/>
                <w:highlight w:val="none"/>
              </w:rPr>
            </w:pPr>
            <w:r>
              <w:rPr>
                <w:rFonts w:hint="eastAsia"/>
                <w:sz w:val="18"/>
                <w:szCs w:val="18"/>
                <w:highlight w:val="none"/>
              </w:rPr>
              <w:t>15</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vMerge w:val="continue"/>
            <w:tcBorders>
              <w:left w:val="single" w:color="auto" w:sz="4" w:space="0"/>
              <w:right w:val="single" w:color="auto" w:sz="4" w:space="0"/>
            </w:tcBorders>
            <w:shd w:val="clear" w:color="auto" w:fill="auto"/>
            <w:vAlign w:val="center"/>
          </w:tcPr>
          <w:p>
            <w:pPr>
              <w:pStyle w:val="46"/>
              <w:spacing w:before="1" w:line="213" w:lineRule="auto"/>
              <w:ind w:left="37" w:right="24" w:firstLine="79"/>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30" w:right="22"/>
              <w:rPr>
                <w:sz w:val="18"/>
                <w:szCs w:val="18"/>
                <w:highlight w:val="none"/>
              </w:rPr>
            </w:pPr>
            <w:r>
              <w:rPr>
                <w:rFonts w:hint="eastAsia"/>
                <w:sz w:val="18"/>
                <w:szCs w:val="18"/>
                <w:highlight w:val="none"/>
              </w:rPr>
              <w:t>135屠宰及肉类加工</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30" w:line="255" w:lineRule="exact"/>
              <w:ind w:left="83"/>
              <w:rPr>
                <w:sz w:val="18"/>
                <w:szCs w:val="18"/>
                <w:highlight w:val="none"/>
              </w:rPr>
            </w:pPr>
            <w:r>
              <w:rPr>
                <w:rFonts w:hint="eastAsia"/>
                <w:sz w:val="18"/>
                <w:szCs w:val="18"/>
                <w:highlight w:val="none"/>
              </w:rPr>
              <w:t>1351牲</w:t>
            </w:r>
          </w:p>
          <w:p>
            <w:pPr>
              <w:pStyle w:val="46"/>
              <w:spacing w:line="255" w:lineRule="exact"/>
              <w:ind w:left="107"/>
              <w:rPr>
                <w:sz w:val="18"/>
                <w:szCs w:val="18"/>
                <w:highlight w:val="none"/>
              </w:rPr>
            </w:pPr>
            <w:r>
              <w:rPr>
                <w:rFonts w:hint="eastAsia"/>
                <w:sz w:val="18"/>
                <w:szCs w:val="18"/>
                <w:highlight w:val="none"/>
              </w:rPr>
              <w:t>畜屠宰</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8"/>
              </w:numPr>
              <w:tabs>
                <w:tab w:val="left" w:pos="186"/>
              </w:tabs>
              <w:spacing w:before="10" w:line="255" w:lineRule="exact"/>
              <w:rPr>
                <w:sz w:val="18"/>
                <w:szCs w:val="18"/>
                <w:highlight w:val="none"/>
                <w:lang w:eastAsia="zh-CN"/>
              </w:rPr>
            </w:pPr>
            <w:r>
              <w:rPr>
                <w:rFonts w:hint="eastAsia"/>
                <w:spacing w:val="-3"/>
                <w:sz w:val="18"/>
                <w:szCs w:val="18"/>
                <w:highlight w:val="none"/>
                <w:lang w:eastAsia="zh-CN"/>
              </w:rPr>
              <w:t>新建项目仅限布局于屠宰场规划区；</w:t>
            </w:r>
          </w:p>
          <w:p>
            <w:pPr>
              <w:pStyle w:val="46"/>
              <w:numPr>
                <w:ilvl w:val="0"/>
                <w:numId w:val="8"/>
              </w:numPr>
              <w:tabs>
                <w:tab w:val="left" w:pos="186"/>
              </w:tabs>
              <w:spacing w:before="9" w:line="213" w:lineRule="auto"/>
              <w:ind w:left="26" w:right="60" w:firstLine="0"/>
              <w:rPr>
                <w:sz w:val="18"/>
                <w:szCs w:val="18"/>
                <w:highlight w:val="none"/>
                <w:lang w:eastAsia="zh-CN"/>
              </w:rPr>
            </w:pPr>
            <w:r>
              <w:rPr>
                <w:rFonts w:hint="eastAsia"/>
                <w:spacing w:val="-4"/>
                <w:sz w:val="18"/>
                <w:szCs w:val="18"/>
                <w:highlight w:val="none"/>
                <w:lang w:eastAsia="zh-CN"/>
              </w:rPr>
              <w:t>屠宰工艺必须达到国内先进水平，恶臭</w:t>
            </w:r>
            <w:r>
              <w:rPr>
                <w:rFonts w:hint="eastAsia"/>
                <w:spacing w:val="-3"/>
                <w:sz w:val="18"/>
                <w:szCs w:val="18"/>
                <w:highlight w:val="none"/>
                <w:lang w:eastAsia="zh-CN"/>
              </w:rPr>
              <w:t>污染物排放浓度必须达到国家一级标准</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1</w:t>
            </w:r>
            <w:r>
              <w:rPr>
                <w:rFonts w:hint="eastAsia"/>
                <w:sz w:val="18"/>
                <w:szCs w:val="18"/>
                <w:highlight w:val="none"/>
                <w:lang w:eastAsia="zh-CN"/>
              </w:rPr>
              <w:t>6</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vMerge w:val="continue"/>
            <w:tcBorders>
              <w:left w:val="single" w:color="auto" w:sz="4" w:space="0"/>
              <w:bottom w:val="single" w:color="auto" w:sz="4" w:space="0"/>
              <w:right w:val="single" w:color="auto" w:sz="4" w:space="0"/>
            </w:tcBorders>
            <w:shd w:val="clear" w:color="auto" w:fill="auto"/>
            <w:vAlign w:val="center"/>
          </w:tcPr>
          <w:p>
            <w:pPr>
              <w:pStyle w:val="46"/>
              <w:spacing w:before="1" w:line="213" w:lineRule="auto"/>
              <w:ind w:left="37" w:right="24" w:firstLine="79"/>
              <w:rPr>
                <w:sz w:val="18"/>
                <w:szCs w:val="18"/>
                <w:highlight w:val="none"/>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0" w:line="255" w:lineRule="exact"/>
              <w:ind w:left="136"/>
              <w:rPr>
                <w:sz w:val="18"/>
                <w:szCs w:val="18"/>
                <w:highlight w:val="none"/>
                <w:lang w:eastAsia="zh-CN"/>
              </w:rPr>
            </w:pPr>
            <w:r>
              <w:rPr>
                <w:rFonts w:hint="eastAsia"/>
                <w:sz w:val="18"/>
                <w:szCs w:val="18"/>
                <w:highlight w:val="none"/>
                <w:lang w:eastAsia="zh-CN"/>
              </w:rPr>
              <w:t>137蔬</w:t>
            </w:r>
          </w:p>
          <w:p>
            <w:pPr>
              <w:pStyle w:val="46"/>
              <w:spacing w:before="9" w:line="213" w:lineRule="auto"/>
              <w:ind w:left="109" w:right="96"/>
              <w:rPr>
                <w:sz w:val="18"/>
                <w:szCs w:val="18"/>
                <w:highlight w:val="none"/>
                <w:lang w:eastAsia="zh-CN"/>
              </w:rPr>
            </w:pPr>
            <w:r>
              <w:rPr>
                <w:rFonts w:hint="eastAsia"/>
                <w:spacing w:val="-6"/>
                <w:sz w:val="18"/>
                <w:szCs w:val="18"/>
                <w:highlight w:val="none"/>
                <w:lang w:eastAsia="zh-CN"/>
              </w:rPr>
              <w:t>菜、菌类、水果和坚果加工</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83"/>
              <w:rPr>
                <w:sz w:val="18"/>
                <w:szCs w:val="18"/>
                <w:highlight w:val="none"/>
              </w:rPr>
            </w:pPr>
            <w:r>
              <w:rPr>
                <w:rFonts w:hint="eastAsia"/>
                <w:sz w:val="18"/>
                <w:szCs w:val="18"/>
                <w:highlight w:val="none"/>
              </w:rPr>
              <w:t>1371水</w:t>
            </w:r>
          </w:p>
          <w:p>
            <w:pPr>
              <w:pStyle w:val="46"/>
              <w:spacing w:before="8" w:line="213" w:lineRule="auto"/>
              <w:ind w:left="107" w:right="98"/>
              <w:rPr>
                <w:sz w:val="18"/>
                <w:szCs w:val="18"/>
                <w:highlight w:val="none"/>
              </w:rPr>
            </w:pPr>
            <w:r>
              <w:rPr>
                <w:rFonts w:hint="eastAsia"/>
                <w:sz w:val="18"/>
                <w:szCs w:val="18"/>
                <w:highlight w:val="none"/>
              </w:rPr>
              <w:t>果和坚果加工</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规划发展产业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26" w:right="218"/>
              <w:rPr>
                <w:sz w:val="18"/>
                <w:szCs w:val="18"/>
                <w:highlight w:val="none"/>
                <w:lang w:eastAsia="zh-CN"/>
              </w:rPr>
            </w:pPr>
            <w:r>
              <w:rPr>
                <w:rFonts w:hint="eastAsia"/>
                <w:sz w:val="18"/>
                <w:szCs w:val="18"/>
                <w:highlight w:val="none"/>
                <w:lang w:eastAsia="zh-CN"/>
              </w:rPr>
              <w:t>新建项目清洁生产水平不得低于清洁生产国内先进水平，并进入完成生态化改造的工业园区</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《指导目录》中允许类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1</w:t>
            </w:r>
            <w:r>
              <w:rPr>
                <w:rFonts w:hint="eastAsia"/>
                <w:sz w:val="18"/>
                <w:szCs w:val="18"/>
                <w:highlight w:val="none"/>
                <w:lang w:eastAsia="zh-CN"/>
              </w:rPr>
              <w:t>7</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143" w:right="103" w:hanging="27"/>
              <w:rPr>
                <w:sz w:val="18"/>
                <w:szCs w:val="18"/>
                <w:highlight w:val="none"/>
              </w:rPr>
            </w:pPr>
            <w:r>
              <w:rPr>
                <w:rFonts w:hint="eastAsia"/>
                <w:sz w:val="18"/>
                <w:szCs w:val="18"/>
                <w:highlight w:val="none"/>
              </w:rPr>
              <w:t>17纺织业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30" w:right="22"/>
              <w:rPr>
                <w:sz w:val="18"/>
                <w:szCs w:val="18"/>
                <w:highlight w:val="none"/>
                <w:lang w:eastAsia="zh-CN"/>
              </w:rPr>
            </w:pPr>
            <w:r>
              <w:rPr>
                <w:rFonts w:hint="eastAsia"/>
                <w:sz w:val="18"/>
                <w:szCs w:val="18"/>
                <w:highlight w:val="none"/>
                <w:lang w:eastAsia="zh-CN"/>
              </w:rPr>
              <w:t>174丝绢纺织及印染精加工</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83"/>
              <w:rPr>
                <w:sz w:val="18"/>
                <w:szCs w:val="18"/>
                <w:highlight w:val="none"/>
              </w:rPr>
            </w:pPr>
            <w:r>
              <w:rPr>
                <w:rFonts w:hint="eastAsia"/>
                <w:sz w:val="18"/>
                <w:szCs w:val="18"/>
                <w:highlight w:val="none"/>
              </w:rPr>
              <w:t>1741缫</w:t>
            </w:r>
          </w:p>
          <w:p>
            <w:pPr>
              <w:pStyle w:val="46"/>
              <w:spacing w:line="255" w:lineRule="exact"/>
              <w:ind w:left="107"/>
              <w:rPr>
                <w:sz w:val="18"/>
                <w:szCs w:val="18"/>
                <w:highlight w:val="none"/>
              </w:rPr>
            </w:pPr>
            <w:r>
              <w:rPr>
                <w:rFonts w:hint="eastAsia"/>
                <w:sz w:val="18"/>
                <w:szCs w:val="18"/>
                <w:highlight w:val="none"/>
              </w:rPr>
              <w:t>丝加工</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9"/>
              </w:numPr>
              <w:tabs>
                <w:tab w:val="left" w:pos="186"/>
              </w:tabs>
              <w:spacing w:before="33" w:line="213" w:lineRule="auto"/>
              <w:ind w:right="42" w:firstLine="0"/>
              <w:rPr>
                <w:sz w:val="18"/>
                <w:szCs w:val="18"/>
                <w:highlight w:val="none"/>
                <w:lang w:eastAsia="zh-CN"/>
              </w:rPr>
            </w:pPr>
            <w:r>
              <w:rPr>
                <w:rFonts w:hint="eastAsia"/>
                <w:spacing w:val="-6"/>
                <w:sz w:val="18"/>
                <w:szCs w:val="18"/>
                <w:highlight w:val="none"/>
                <w:lang w:eastAsia="zh-CN"/>
              </w:rPr>
              <w:t>禁止投资工业用水重复利用率低于</w:t>
            </w:r>
            <w:r>
              <w:rPr>
                <w:rFonts w:hint="eastAsia"/>
                <w:spacing w:val="-4"/>
                <w:sz w:val="18"/>
                <w:szCs w:val="18"/>
                <w:highlight w:val="none"/>
                <w:lang w:eastAsia="zh-CN"/>
              </w:rPr>
              <w:t>95%</w:t>
            </w:r>
            <w:r>
              <w:rPr>
                <w:rFonts w:hint="eastAsia"/>
                <w:spacing w:val="-3"/>
                <w:sz w:val="18"/>
                <w:szCs w:val="18"/>
                <w:highlight w:val="none"/>
                <w:lang w:eastAsia="zh-CN"/>
              </w:rPr>
              <w:t>的缫丝加工业。新建项目一律进入现有完成生态化改造的工业园区建设；</w:t>
            </w:r>
          </w:p>
          <w:p>
            <w:pPr>
              <w:pStyle w:val="46"/>
              <w:numPr>
                <w:ilvl w:val="0"/>
                <w:numId w:val="9"/>
              </w:numPr>
              <w:tabs>
                <w:tab w:val="left" w:pos="186"/>
              </w:tabs>
              <w:spacing w:line="234" w:lineRule="exact"/>
              <w:ind w:left="185"/>
              <w:rPr>
                <w:sz w:val="18"/>
                <w:szCs w:val="18"/>
                <w:highlight w:val="none"/>
                <w:lang w:eastAsia="zh-CN"/>
              </w:rPr>
            </w:pPr>
            <w:r>
              <w:rPr>
                <w:rFonts w:hint="eastAsia"/>
                <w:spacing w:val="-3"/>
                <w:sz w:val="18"/>
                <w:szCs w:val="18"/>
                <w:highlight w:val="none"/>
                <w:lang w:eastAsia="zh-CN"/>
              </w:rPr>
              <w:t>清洁生产工艺必须达到国内先进水平；</w:t>
            </w:r>
          </w:p>
          <w:p>
            <w:pPr>
              <w:pStyle w:val="46"/>
              <w:numPr>
                <w:ilvl w:val="0"/>
                <w:numId w:val="9"/>
              </w:numPr>
              <w:tabs>
                <w:tab w:val="left" w:pos="186"/>
              </w:tabs>
              <w:spacing w:line="252" w:lineRule="exact"/>
              <w:ind w:left="185"/>
              <w:rPr>
                <w:sz w:val="18"/>
                <w:szCs w:val="18"/>
                <w:highlight w:val="none"/>
                <w:lang w:eastAsia="zh-CN"/>
              </w:rPr>
            </w:pPr>
            <w:r>
              <w:rPr>
                <w:rFonts w:hint="eastAsia"/>
                <w:spacing w:val="-3"/>
                <w:sz w:val="18"/>
                <w:szCs w:val="18"/>
                <w:highlight w:val="none"/>
                <w:lang w:eastAsia="zh-CN"/>
              </w:rPr>
              <w:t>民族传统工艺项目不在限制范围</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1</w:t>
            </w:r>
            <w:r>
              <w:rPr>
                <w:rFonts w:hint="eastAsia"/>
                <w:sz w:val="18"/>
                <w:szCs w:val="18"/>
                <w:highlight w:val="none"/>
                <w:lang w:eastAsia="zh-CN"/>
              </w:rPr>
              <w:t>8</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37" w:right="24"/>
              <w:rPr>
                <w:sz w:val="18"/>
                <w:szCs w:val="18"/>
                <w:highlight w:val="none"/>
              </w:rPr>
            </w:pPr>
            <w:r>
              <w:rPr>
                <w:rFonts w:hint="eastAsia"/>
                <w:sz w:val="18"/>
                <w:szCs w:val="18"/>
                <w:highlight w:val="none"/>
              </w:rPr>
              <w:t>21家具制造业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23" w:right="10"/>
              <w:rPr>
                <w:sz w:val="18"/>
                <w:szCs w:val="18"/>
                <w:highlight w:val="none"/>
              </w:rPr>
            </w:pPr>
            <w:r>
              <w:rPr>
                <w:rFonts w:hint="eastAsia"/>
                <w:sz w:val="18"/>
                <w:szCs w:val="18"/>
                <w:highlight w:val="none"/>
              </w:rPr>
              <w:t>211</w:t>
            </w:r>
            <w:r>
              <w:rPr>
                <w:rFonts w:hint="eastAsia"/>
                <w:sz w:val="18"/>
                <w:szCs w:val="18"/>
                <w:highlight w:val="none"/>
                <w:lang w:eastAsia="zh-CN"/>
              </w:rPr>
              <w:t>木制家具</w:t>
            </w:r>
            <w:r>
              <w:rPr>
                <w:rFonts w:hint="eastAsia"/>
                <w:sz w:val="18"/>
                <w:szCs w:val="18"/>
                <w:highlight w:val="none"/>
              </w:rPr>
              <w:t>制造</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30" w:line="255" w:lineRule="exact"/>
              <w:ind w:left="62" w:right="53"/>
              <w:rPr>
                <w:sz w:val="18"/>
                <w:szCs w:val="18"/>
                <w:highlight w:val="none"/>
              </w:rPr>
            </w:pPr>
            <w:r>
              <w:rPr>
                <w:rFonts w:hint="eastAsia"/>
                <w:sz w:val="18"/>
                <w:szCs w:val="18"/>
                <w:highlight w:val="none"/>
              </w:rPr>
              <w:t>2110木</w:t>
            </w:r>
          </w:p>
          <w:p>
            <w:pPr>
              <w:pStyle w:val="46"/>
              <w:spacing w:before="9" w:line="213" w:lineRule="auto"/>
              <w:ind w:left="107" w:right="98"/>
              <w:rPr>
                <w:sz w:val="18"/>
                <w:szCs w:val="18"/>
                <w:highlight w:val="none"/>
              </w:rPr>
            </w:pPr>
            <w:r>
              <w:rPr>
                <w:rFonts w:hint="eastAsia"/>
                <w:sz w:val="18"/>
                <w:szCs w:val="18"/>
                <w:highlight w:val="none"/>
              </w:rPr>
              <w:t>质家具制造</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10"/>
              </w:numPr>
              <w:tabs>
                <w:tab w:val="left" w:pos="186"/>
              </w:tabs>
              <w:spacing w:before="33" w:line="213" w:lineRule="auto"/>
              <w:ind w:right="60" w:firstLine="0"/>
              <w:rPr>
                <w:sz w:val="18"/>
                <w:szCs w:val="18"/>
                <w:highlight w:val="none"/>
                <w:lang w:eastAsia="zh-CN"/>
              </w:rPr>
            </w:pPr>
            <w:r>
              <w:rPr>
                <w:rFonts w:hint="eastAsia"/>
                <w:spacing w:val="-4"/>
                <w:sz w:val="18"/>
                <w:szCs w:val="18"/>
                <w:highlight w:val="none"/>
                <w:lang w:eastAsia="zh-CN"/>
              </w:rPr>
              <w:t>禁止新建以优质林木为原料的一次性木</w:t>
            </w:r>
            <w:r>
              <w:rPr>
                <w:rFonts w:hint="eastAsia"/>
                <w:spacing w:val="-3"/>
                <w:sz w:val="18"/>
                <w:szCs w:val="18"/>
                <w:highlight w:val="none"/>
                <w:lang w:eastAsia="zh-CN"/>
              </w:rPr>
              <w:t>制品与木质包装的生产项目；</w:t>
            </w:r>
          </w:p>
          <w:p>
            <w:pPr>
              <w:pStyle w:val="46"/>
              <w:numPr>
                <w:ilvl w:val="0"/>
                <w:numId w:val="10"/>
              </w:numPr>
              <w:tabs>
                <w:tab w:val="left" w:pos="186"/>
              </w:tabs>
              <w:spacing w:before="1" w:line="213" w:lineRule="auto"/>
              <w:ind w:right="60" w:firstLine="0"/>
              <w:rPr>
                <w:sz w:val="18"/>
                <w:szCs w:val="18"/>
                <w:highlight w:val="none"/>
                <w:lang w:eastAsia="zh-CN"/>
              </w:rPr>
            </w:pPr>
            <w:r>
              <w:rPr>
                <w:rFonts w:hint="eastAsia"/>
                <w:spacing w:val="-4"/>
                <w:sz w:val="18"/>
                <w:szCs w:val="18"/>
                <w:highlight w:val="none"/>
                <w:lang w:eastAsia="zh-CN"/>
              </w:rPr>
              <w:t>新建项目清洁生产水平不得低于国内先</w:t>
            </w:r>
            <w:r>
              <w:rPr>
                <w:rFonts w:hint="eastAsia"/>
                <w:sz w:val="18"/>
                <w:szCs w:val="18"/>
                <w:highlight w:val="none"/>
                <w:lang w:eastAsia="zh-CN"/>
              </w:rPr>
              <w:t>进水平</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ind w:left="102"/>
              <w:rPr>
                <w:sz w:val="18"/>
                <w:szCs w:val="18"/>
                <w:highlight w:val="none"/>
                <w:lang w:eastAsia="zh-CN"/>
              </w:rPr>
            </w:pPr>
            <w:r>
              <w:rPr>
                <w:rFonts w:hint="eastAsia"/>
                <w:sz w:val="18"/>
                <w:szCs w:val="18"/>
                <w:highlight w:val="none"/>
                <w:lang w:eastAsia="zh-CN"/>
              </w:rPr>
              <w:t>19</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vMerge w:val="restart"/>
            <w:tcBorders>
              <w:top w:val="single" w:color="auto" w:sz="4" w:space="0"/>
              <w:left w:val="single" w:color="auto" w:sz="4" w:space="0"/>
              <w:right w:val="single" w:color="auto" w:sz="4" w:space="0"/>
            </w:tcBorders>
            <w:shd w:val="clear" w:color="auto" w:fill="auto"/>
            <w:vAlign w:val="center"/>
          </w:tcPr>
          <w:p>
            <w:pPr>
              <w:pStyle w:val="46"/>
              <w:spacing w:before="153" w:line="213" w:lineRule="auto"/>
              <w:ind w:left="37" w:right="24"/>
              <w:rPr>
                <w:sz w:val="18"/>
                <w:szCs w:val="18"/>
                <w:highlight w:val="none"/>
                <w:lang w:eastAsia="zh-CN"/>
              </w:rPr>
            </w:pPr>
            <w:r>
              <w:rPr>
                <w:rFonts w:hint="eastAsia"/>
                <w:sz w:val="18"/>
                <w:szCs w:val="18"/>
                <w:highlight w:val="none"/>
                <w:lang w:eastAsia="zh-CN"/>
              </w:rPr>
              <w:t>26化学原料和化学制品制造业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215" w:right="22" w:hanging="185"/>
              <w:rPr>
                <w:sz w:val="18"/>
                <w:szCs w:val="18"/>
                <w:highlight w:val="none"/>
              </w:rPr>
            </w:pPr>
            <w:r>
              <w:rPr>
                <w:rFonts w:hint="eastAsia"/>
                <w:sz w:val="18"/>
                <w:szCs w:val="18"/>
                <w:highlight w:val="none"/>
              </w:rPr>
              <w:t>263农药制造</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63" w:right="52"/>
              <w:rPr>
                <w:sz w:val="18"/>
                <w:szCs w:val="18"/>
                <w:highlight w:val="none"/>
              </w:rPr>
            </w:pPr>
            <w:r>
              <w:rPr>
                <w:rFonts w:hint="eastAsia"/>
                <w:sz w:val="18"/>
                <w:szCs w:val="18"/>
                <w:highlight w:val="none"/>
              </w:rPr>
              <w:t>2631化</w:t>
            </w:r>
          </w:p>
          <w:p>
            <w:pPr>
              <w:pStyle w:val="46"/>
              <w:spacing w:before="8" w:line="213" w:lineRule="auto"/>
              <w:ind w:left="107" w:right="98"/>
              <w:rPr>
                <w:sz w:val="18"/>
                <w:szCs w:val="18"/>
                <w:highlight w:val="none"/>
              </w:rPr>
            </w:pPr>
            <w:r>
              <w:rPr>
                <w:rFonts w:hint="eastAsia"/>
                <w:sz w:val="18"/>
                <w:szCs w:val="18"/>
                <w:highlight w:val="none"/>
              </w:rPr>
              <w:t>学农药制造</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26" w:right="218"/>
              <w:rPr>
                <w:sz w:val="18"/>
                <w:szCs w:val="18"/>
                <w:highlight w:val="none"/>
                <w:lang w:eastAsia="zh-CN"/>
              </w:rPr>
            </w:pPr>
            <w:r>
              <w:rPr>
                <w:rFonts w:hint="eastAsia"/>
                <w:spacing w:val="-3"/>
                <w:sz w:val="18"/>
                <w:szCs w:val="18"/>
                <w:highlight w:val="none"/>
                <w:lang w:eastAsia="zh-CN"/>
              </w:rPr>
              <w:t>限制发展高毒农药原药（</w:t>
            </w:r>
            <w:r>
              <w:rPr>
                <w:rFonts w:hint="eastAsia"/>
                <w:spacing w:val="-4"/>
                <w:sz w:val="18"/>
                <w:szCs w:val="18"/>
                <w:highlight w:val="none"/>
                <w:lang w:eastAsia="zh-CN"/>
              </w:rPr>
              <w:t>甲胺磷、对硫磷、甲基对硫磷、久效磷、氧化乐果、水胺硫磷、甲基异柳磷、甲拌磷、甲基</w:t>
            </w:r>
            <w:r>
              <w:rPr>
                <w:rFonts w:hint="eastAsia"/>
                <w:spacing w:val="-3"/>
                <w:sz w:val="18"/>
                <w:szCs w:val="18"/>
                <w:highlight w:val="none"/>
                <w:lang w:eastAsia="zh-CN"/>
              </w:rPr>
              <w:t>硫环磷、乙基硫环磷、特丁磷、杀扑磷、溴甲烷、灭多威、涕灭威、克百威、磷化锌、敌鼠钠、敌鼠酮、杀鼠</w:t>
            </w:r>
            <w:r>
              <w:rPr>
                <w:rFonts w:hint="eastAsia"/>
                <w:sz w:val="18"/>
                <w:szCs w:val="18"/>
                <w:highlight w:val="none"/>
                <w:lang w:eastAsia="zh-CN"/>
              </w:rPr>
              <w:t>灵、杀鼠醚、溴敌隆、溴鼠灵）生产项目</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ind w:left="102"/>
              <w:rPr>
                <w:sz w:val="18"/>
                <w:szCs w:val="18"/>
                <w:highlight w:val="none"/>
                <w:lang w:eastAsia="zh-CN"/>
              </w:rPr>
            </w:pPr>
            <w:r>
              <w:rPr>
                <w:rFonts w:hint="eastAsia"/>
                <w:sz w:val="18"/>
                <w:szCs w:val="18"/>
                <w:highlight w:val="none"/>
                <w:lang w:eastAsia="zh-CN"/>
              </w:rPr>
              <w:t>20</w:t>
            </w:r>
          </w:p>
        </w:tc>
        <w:tc>
          <w:tcPr>
            <w:tcW w:w="988" w:type="dxa"/>
            <w:vMerge w:val="continue"/>
            <w:tcBorders>
              <w:left w:val="single" w:color="auto" w:sz="4" w:space="0"/>
              <w:right w:val="single" w:color="auto" w:sz="4" w:space="0"/>
            </w:tcBorders>
            <w:shd w:val="clear" w:color="auto" w:fill="auto"/>
            <w:vAlign w:val="center"/>
          </w:tcPr>
          <w:p>
            <w:pPr>
              <w:jc w:val="center"/>
              <w:rPr>
                <w:sz w:val="18"/>
                <w:szCs w:val="18"/>
                <w:highlight w:val="none"/>
              </w:rPr>
            </w:pPr>
          </w:p>
        </w:tc>
        <w:tc>
          <w:tcPr>
            <w:tcW w:w="1116" w:type="dxa"/>
            <w:vMerge w:val="continue"/>
            <w:tcBorders>
              <w:left w:val="single" w:color="auto" w:sz="4" w:space="0"/>
              <w:right w:val="single" w:color="auto" w:sz="4" w:space="0"/>
            </w:tcBorders>
            <w:shd w:val="clear" w:color="auto" w:fill="auto"/>
            <w:vAlign w:val="center"/>
          </w:tcPr>
          <w:p>
            <w:pPr>
              <w:jc w:val="center"/>
              <w:rPr>
                <w:sz w:val="18"/>
                <w:szCs w:val="18"/>
                <w:highlight w:val="none"/>
                <w:lang w:eastAsia="zh-CN"/>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55" w:lineRule="exact"/>
              <w:ind w:left="136"/>
              <w:rPr>
                <w:sz w:val="18"/>
                <w:szCs w:val="18"/>
                <w:highlight w:val="none"/>
                <w:lang w:eastAsia="zh-CN"/>
              </w:rPr>
            </w:pPr>
            <w:r>
              <w:rPr>
                <w:rFonts w:hint="eastAsia"/>
                <w:sz w:val="18"/>
                <w:szCs w:val="18"/>
                <w:highlight w:val="none"/>
                <w:lang w:eastAsia="zh-CN"/>
              </w:rPr>
              <w:t>264涂</w:t>
            </w:r>
          </w:p>
          <w:p>
            <w:pPr>
              <w:pStyle w:val="46"/>
              <w:spacing w:before="8" w:line="213" w:lineRule="auto"/>
              <w:ind w:left="109" w:right="96"/>
              <w:rPr>
                <w:sz w:val="18"/>
                <w:szCs w:val="18"/>
                <w:highlight w:val="none"/>
                <w:lang w:eastAsia="zh-CN"/>
              </w:rPr>
            </w:pPr>
            <w:r>
              <w:rPr>
                <w:rFonts w:hint="eastAsia"/>
                <w:sz w:val="18"/>
                <w:szCs w:val="18"/>
                <w:highlight w:val="none"/>
                <w:lang w:eastAsia="zh-CN"/>
              </w:rPr>
              <w:t>料、油墨、颜料及类似产品制造</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83"/>
              <w:rPr>
                <w:sz w:val="18"/>
                <w:szCs w:val="18"/>
                <w:highlight w:val="none"/>
              </w:rPr>
            </w:pPr>
            <w:r>
              <w:rPr>
                <w:rFonts w:hint="eastAsia"/>
                <w:sz w:val="18"/>
                <w:szCs w:val="18"/>
                <w:highlight w:val="none"/>
              </w:rPr>
              <w:t>2641涂</w:t>
            </w:r>
          </w:p>
          <w:p>
            <w:pPr>
              <w:pStyle w:val="46"/>
              <w:spacing w:line="255" w:lineRule="exact"/>
              <w:ind w:left="107"/>
              <w:rPr>
                <w:sz w:val="18"/>
                <w:szCs w:val="18"/>
                <w:highlight w:val="none"/>
              </w:rPr>
            </w:pPr>
            <w:r>
              <w:rPr>
                <w:rFonts w:hint="eastAsia"/>
                <w:sz w:val="18"/>
                <w:szCs w:val="18"/>
                <w:highlight w:val="none"/>
              </w:rPr>
              <w:t>料制造</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规划发展产业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11"/>
              </w:numPr>
              <w:tabs>
                <w:tab w:val="left" w:pos="186"/>
              </w:tabs>
              <w:spacing w:before="33" w:line="213" w:lineRule="auto"/>
              <w:ind w:right="60" w:firstLine="0"/>
              <w:rPr>
                <w:sz w:val="18"/>
                <w:szCs w:val="18"/>
                <w:highlight w:val="none"/>
                <w:lang w:eastAsia="zh-CN"/>
              </w:rPr>
            </w:pPr>
            <w:r>
              <w:rPr>
                <w:rFonts w:hint="eastAsia"/>
                <w:spacing w:val="-4"/>
                <w:sz w:val="18"/>
                <w:szCs w:val="18"/>
                <w:highlight w:val="none"/>
                <w:lang w:eastAsia="zh-CN"/>
              </w:rPr>
              <w:t>新建项目清洁生产水平不得低于清洁生</w:t>
            </w:r>
            <w:r>
              <w:rPr>
                <w:rFonts w:hint="eastAsia"/>
                <w:spacing w:val="-3"/>
                <w:sz w:val="18"/>
                <w:szCs w:val="18"/>
                <w:highlight w:val="none"/>
                <w:lang w:eastAsia="zh-CN"/>
              </w:rPr>
              <w:t>产国内先进水平，并一律进入完成生态化改造的工业园区；</w:t>
            </w:r>
          </w:p>
          <w:p>
            <w:pPr>
              <w:pStyle w:val="46"/>
              <w:numPr>
                <w:ilvl w:val="0"/>
                <w:numId w:val="11"/>
              </w:numPr>
              <w:tabs>
                <w:tab w:val="left" w:pos="186"/>
              </w:tabs>
              <w:spacing w:before="2" w:line="213" w:lineRule="auto"/>
              <w:ind w:right="60" w:firstLine="0"/>
              <w:rPr>
                <w:sz w:val="18"/>
                <w:szCs w:val="18"/>
                <w:highlight w:val="none"/>
                <w:lang w:eastAsia="zh-CN"/>
              </w:rPr>
            </w:pPr>
            <w:r>
              <w:rPr>
                <w:rFonts w:hint="eastAsia"/>
                <w:spacing w:val="-4"/>
                <w:sz w:val="18"/>
                <w:szCs w:val="18"/>
                <w:highlight w:val="none"/>
                <w:lang w:eastAsia="zh-CN"/>
              </w:rPr>
              <w:t>新建项目“三废”排放标准要严于国家</w:t>
            </w:r>
            <w:r>
              <w:rPr>
                <w:rFonts w:hint="eastAsia"/>
                <w:spacing w:val="-1"/>
                <w:sz w:val="18"/>
                <w:szCs w:val="18"/>
                <w:highlight w:val="none"/>
                <w:lang w:eastAsia="zh-CN"/>
              </w:rPr>
              <w:t>排放标准</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2</w:t>
            </w:r>
            <w:r>
              <w:rPr>
                <w:rFonts w:hint="eastAsia"/>
                <w:sz w:val="18"/>
                <w:szCs w:val="18"/>
                <w:highlight w:val="none"/>
                <w:lang w:eastAsia="zh-CN"/>
              </w:rPr>
              <w:t>1</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vMerge w:val="continue"/>
            <w:tcBorders>
              <w:left w:val="single" w:color="auto" w:sz="4" w:space="0"/>
              <w:bottom w:val="single" w:color="auto" w:sz="4" w:space="0"/>
              <w:right w:val="single" w:color="auto" w:sz="4" w:space="0"/>
            </w:tcBorders>
            <w:shd w:val="clear" w:color="auto" w:fill="auto"/>
            <w:vAlign w:val="center"/>
          </w:tcPr>
          <w:p>
            <w:pPr>
              <w:pStyle w:val="46"/>
              <w:spacing w:before="153" w:line="213" w:lineRule="auto"/>
              <w:ind w:left="37" w:right="24"/>
              <w:rPr>
                <w:sz w:val="18"/>
                <w:szCs w:val="18"/>
                <w:highlight w:val="none"/>
                <w:lang w:eastAsia="zh-CN"/>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215" w:right="22" w:hanging="185"/>
              <w:rPr>
                <w:sz w:val="18"/>
                <w:szCs w:val="18"/>
                <w:highlight w:val="none"/>
              </w:rPr>
            </w:pP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83"/>
              <w:rPr>
                <w:sz w:val="18"/>
                <w:szCs w:val="18"/>
                <w:highlight w:val="none"/>
              </w:rPr>
            </w:pPr>
            <w:r>
              <w:rPr>
                <w:rFonts w:hint="eastAsia"/>
                <w:sz w:val="18"/>
                <w:szCs w:val="18"/>
                <w:highlight w:val="none"/>
              </w:rPr>
              <w:t>2645染料制造</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规划发展产业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12"/>
              </w:numPr>
              <w:tabs>
                <w:tab w:val="left" w:pos="186"/>
              </w:tabs>
              <w:spacing w:before="33" w:line="213" w:lineRule="auto"/>
              <w:ind w:right="60" w:firstLine="0"/>
              <w:rPr>
                <w:sz w:val="18"/>
                <w:szCs w:val="18"/>
                <w:highlight w:val="none"/>
                <w:lang w:eastAsia="zh-CN"/>
              </w:rPr>
            </w:pPr>
            <w:r>
              <w:rPr>
                <w:rFonts w:hint="eastAsia"/>
                <w:spacing w:val="-4"/>
                <w:sz w:val="18"/>
                <w:szCs w:val="18"/>
                <w:highlight w:val="none"/>
                <w:lang w:eastAsia="zh-CN"/>
              </w:rPr>
              <w:t>新建项目清洁生产水平不得低于清洁生</w:t>
            </w:r>
            <w:r>
              <w:rPr>
                <w:rFonts w:hint="eastAsia"/>
                <w:spacing w:val="-3"/>
                <w:sz w:val="18"/>
                <w:szCs w:val="18"/>
                <w:highlight w:val="none"/>
                <w:lang w:eastAsia="zh-CN"/>
              </w:rPr>
              <w:t>产国内先进水平，并一律进入完成生态化改造的工业园区；</w:t>
            </w:r>
          </w:p>
          <w:p>
            <w:pPr>
              <w:pStyle w:val="46"/>
              <w:numPr>
                <w:ilvl w:val="0"/>
                <w:numId w:val="12"/>
              </w:numPr>
              <w:tabs>
                <w:tab w:val="left" w:pos="186"/>
              </w:tabs>
              <w:spacing w:before="3" w:line="213" w:lineRule="auto"/>
              <w:ind w:right="60" w:firstLine="0"/>
              <w:rPr>
                <w:sz w:val="18"/>
                <w:szCs w:val="18"/>
                <w:highlight w:val="none"/>
                <w:lang w:eastAsia="zh-CN"/>
              </w:rPr>
            </w:pPr>
            <w:r>
              <w:rPr>
                <w:rFonts w:hint="eastAsia"/>
                <w:spacing w:val="-4"/>
                <w:sz w:val="18"/>
                <w:szCs w:val="18"/>
                <w:highlight w:val="none"/>
                <w:lang w:eastAsia="zh-CN"/>
              </w:rPr>
              <w:t>新建项目“三废”排放标准要严于国家</w:t>
            </w:r>
            <w:r>
              <w:rPr>
                <w:rFonts w:hint="eastAsia"/>
                <w:spacing w:val="-1"/>
                <w:sz w:val="18"/>
                <w:szCs w:val="18"/>
                <w:highlight w:val="none"/>
                <w:lang w:eastAsia="zh-CN"/>
              </w:rPr>
              <w:t>排放标准</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2</w:t>
            </w:r>
            <w:r>
              <w:rPr>
                <w:rFonts w:hint="eastAsia"/>
                <w:sz w:val="18"/>
                <w:szCs w:val="18"/>
                <w:highlight w:val="none"/>
                <w:lang w:eastAsia="zh-CN"/>
              </w:rPr>
              <w:t>2</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vMerge w:val="restart"/>
            <w:tcBorders>
              <w:top w:val="single" w:color="auto" w:sz="4" w:space="0"/>
              <w:left w:val="single" w:color="auto" w:sz="4" w:space="0"/>
              <w:right w:val="single" w:color="auto" w:sz="4" w:space="0"/>
            </w:tcBorders>
            <w:shd w:val="clear" w:color="auto" w:fill="auto"/>
            <w:vAlign w:val="center"/>
          </w:tcPr>
          <w:p>
            <w:pPr>
              <w:pStyle w:val="46"/>
              <w:spacing w:line="213" w:lineRule="auto"/>
              <w:ind w:left="37" w:right="24"/>
              <w:rPr>
                <w:sz w:val="18"/>
                <w:szCs w:val="18"/>
                <w:highlight w:val="none"/>
                <w:lang w:eastAsia="zh-CN"/>
              </w:rPr>
            </w:pPr>
            <w:r>
              <w:rPr>
                <w:rFonts w:hint="eastAsia"/>
                <w:sz w:val="18"/>
                <w:szCs w:val="18"/>
                <w:highlight w:val="none"/>
              </w:rPr>
              <w:t>27医药制造业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30" w:right="22"/>
              <w:rPr>
                <w:sz w:val="18"/>
                <w:szCs w:val="18"/>
                <w:highlight w:val="none"/>
              </w:rPr>
            </w:pPr>
            <w:r>
              <w:rPr>
                <w:rFonts w:hint="eastAsia"/>
                <w:sz w:val="18"/>
                <w:szCs w:val="18"/>
                <w:highlight w:val="none"/>
              </w:rPr>
              <w:t>271化学药品原料药制造</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30" w:line="255" w:lineRule="exact"/>
              <w:ind w:left="83"/>
              <w:rPr>
                <w:sz w:val="18"/>
                <w:szCs w:val="18"/>
                <w:highlight w:val="none"/>
              </w:rPr>
            </w:pPr>
            <w:r>
              <w:rPr>
                <w:rFonts w:hint="eastAsia"/>
                <w:sz w:val="18"/>
                <w:szCs w:val="18"/>
                <w:highlight w:val="none"/>
              </w:rPr>
              <w:t>2710化学药品原料药制造</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13"/>
              </w:numPr>
              <w:tabs>
                <w:tab w:val="left" w:pos="186"/>
              </w:tabs>
              <w:spacing w:before="33" w:line="213" w:lineRule="auto"/>
              <w:ind w:right="60" w:firstLine="0"/>
              <w:rPr>
                <w:sz w:val="18"/>
                <w:szCs w:val="18"/>
                <w:highlight w:val="none"/>
                <w:lang w:eastAsia="zh-CN"/>
              </w:rPr>
            </w:pPr>
            <w:r>
              <w:rPr>
                <w:rFonts w:hint="eastAsia"/>
                <w:spacing w:val="-4"/>
                <w:sz w:val="18"/>
                <w:szCs w:val="18"/>
                <w:highlight w:val="none"/>
                <w:lang w:eastAsia="zh-CN"/>
              </w:rPr>
              <w:t>新建项目清洁生产水平不得低于清洁生</w:t>
            </w:r>
            <w:r>
              <w:rPr>
                <w:rFonts w:hint="eastAsia"/>
                <w:spacing w:val="-3"/>
                <w:sz w:val="18"/>
                <w:szCs w:val="18"/>
                <w:highlight w:val="none"/>
                <w:lang w:eastAsia="zh-CN"/>
              </w:rPr>
              <w:t>产国内先进水平，并一律进入完成生态化改造的工业园区；</w:t>
            </w:r>
          </w:p>
          <w:p>
            <w:pPr>
              <w:pStyle w:val="46"/>
              <w:numPr>
                <w:ilvl w:val="0"/>
                <w:numId w:val="13"/>
              </w:numPr>
              <w:tabs>
                <w:tab w:val="left" w:pos="186"/>
              </w:tabs>
              <w:spacing w:before="2" w:line="213" w:lineRule="auto"/>
              <w:ind w:right="60" w:firstLine="0"/>
              <w:rPr>
                <w:sz w:val="18"/>
                <w:szCs w:val="18"/>
                <w:highlight w:val="none"/>
                <w:lang w:eastAsia="zh-CN"/>
              </w:rPr>
            </w:pPr>
            <w:r>
              <w:rPr>
                <w:rFonts w:hint="eastAsia"/>
                <w:spacing w:val="-4"/>
                <w:sz w:val="18"/>
                <w:szCs w:val="18"/>
                <w:highlight w:val="none"/>
                <w:lang w:eastAsia="zh-CN"/>
              </w:rPr>
              <w:t>新建项目“三废”排放标准要严于国家</w:t>
            </w:r>
            <w:r>
              <w:rPr>
                <w:rFonts w:hint="eastAsia"/>
                <w:spacing w:val="-1"/>
                <w:sz w:val="18"/>
                <w:szCs w:val="18"/>
                <w:highlight w:val="none"/>
                <w:lang w:eastAsia="zh-CN"/>
              </w:rPr>
              <w:t>排放标准</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2</w:t>
            </w:r>
            <w:r>
              <w:rPr>
                <w:rFonts w:hint="eastAsia"/>
                <w:sz w:val="18"/>
                <w:szCs w:val="18"/>
                <w:highlight w:val="none"/>
                <w:lang w:eastAsia="zh-CN"/>
              </w:rPr>
              <w:t>3</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vMerge w:val="continue"/>
            <w:tcBorders>
              <w:left w:val="single" w:color="auto" w:sz="4" w:space="0"/>
              <w:bottom w:val="single" w:color="auto" w:sz="4" w:space="0"/>
              <w:right w:val="single" w:color="auto" w:sz="4" w:space="0"/>
            </w:tcBorders>
            <w:shd w:val="clear" w:color="auto" w:fill="auto"/>
            <w:vAlign w:val="center"/>
          </w:tcPr>
          <w:p>
            <w:pPr>
              <w:pStyle w:val="46"/>
              <w:spacing w:before="153" w:line="213" w:lineRule="auto"/>
              <w:ind w:left="37" w:right="24"/>
              <w:rPr>
                <w:sz w:val="18"/>
                <w:szCs w:val="18"/>
                <w:highlight w:val="none"/>
                <w:lang w:eastAsia="zh-CN"/>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30" w:right="22"/>
              <w:rPr>
                <w:sz w:val="18"/>
                <w:szCs w:val="18"/>
                <w:highlight w:val="none"/>
              </w:rPr>
            </w:pPr>
            <w:r>
              <w:rPr>
                <w:rFonts w:hint="eastAsia"/>
                <w:sz w:val="18"/>
                <w:szCs w:val="18"/>
                <w:highlight w:val="none"/>
              </w:rPr>
              <w:t>2740中成药生产</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63" w:right="52"/>
              <w:rPr>
                <w:sz w:val="18"/>
                <w:szCs w:val="18"/>
                <w:highlight w:val="none"/>
              </w:rPr>
            </w:pPr>
            <w:r>
              <w:rPr>
                <w:rFonts w:hint="eastAsia"/>
                <w:sz w:val="18"/>
                <w:szCs w:val="18"/>
                <w:highlight w:val="none"/>
              </w:rPr>
              <w:t>2740中成药生产</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规划发展产业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numPr>
                <w:ilvl w:val="0"/>
                <w:numId w:val="14"/>
              </w:numPr>
              <w:tabs>
                <w:tab w:val="left" w:pos="186"/>
              </w:tabs>
              <w:spacing w:before="33" w:line="213" w:lineRule="auto"/>
              <w:ind w:right="60" w:firstLine="0"/>
              <w:rPr>
                <w:sz w:val="18"/>
                <w:szCs w:val="18"/>
                <w:highlight w:val="none"/>
                <w:lang w:eastAsia="zh-CN"/>
              </w:rPr>
            </w:pPr>
            <w:r>
              <w:rPr>
                <w:rFonts w:hint="eastAsia"/>
                <w:spacing w:val="-4"/>
                <w:sz w:val="18"/>
                <w:szCs w:val="18"/>
                <w:highlight w:val="none"/>
                <w:lang w:eastAsia="zh-CN"/>
              </w:rPr>
              <w:t>新建项目清洁生产水平不得低于清洁生</w:t>
            </w:r>
            <w:r>
              <w:rPr>
                <w:rFonts w:hint="eastAsia"/>
                <w:spacing w:val="-3"/>
                <w:sz w:val="18"/>
                <w:szCs w:val="18"/>
                <w:highlight w:val="none"/>
                <w:lang w:eastAsia="zh-CN"/>
              </w:rPr>
              <w:t>产国内先进水平，并一律进入完成生态化改造的工业园区；</w:t>
            </w:r>
          </w:p>
          <w:p>
            <w:pPr>
              <w:pStyle w:val="46"/>
              <w:numPr>
                <w:ilvl w:val="0"/>
                <w:numId w:val="14"/>
              </w:numPr>
              <w:tabs>
                <w:tab w:val="left" w:pos="186"/>
              </w:tabs>
              <w:spacing w:before="2" w:line="213" w:lineRule="auto"/>
              <w:ind w:right="60" w:firstLine="0"/>
              <w:rPr>
                <w:sz w:val="18"/>
                <w:szCs w:val="18"/>
                <w:highlight w:val="none"/>
                <w:lang w:eastAsia="zh-CN"/>
              </w:rPr>
            </w:pPr>
            <w:r>
              <w:rPr>
                <w:rFonts w:hint="eastAsia"/>
                <w:spacing w:val="-4"/>
                <w:sz w:val="18"/>
                <w:szCs w:val="18"/>
                <w:highlight w:val="none"/>
                <w:lang w:eastAsia="zh-CN"/>
              </w:rPr>
              <w:t>新建项目“三废”排放标准要严于国家</w:t>
            </w:r>
            <w:r>
              <w:rPr>
                <w:rFonts w:hint="eastAsia"/>
                <w:spacing w:val="-1"/>
                <w:sz w:val="18"/>
                <w:szCs w:val="18"/>
                <w:highlight w:val="none"/>
                <w:lang w:eastAsia="zh-CN"/>
              </w:rPr>
              <w:t>排放标准</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ind w:left="102"/>
              <w:rPr>
                <w:sz w:val="18"/>
                <w:szCs w:val="18"/>
                <w:highlight w:val="none"/>
                <w:lang w:eastAsia="zh-CN"/>
              </w:rPr>
            </w:pPr>
            <w:r>
              <w:rPr>
                <w:rFonts w:hint="eastAsia"/>
                <w:sz w:val="18"/>
                <w:szCs w:val="18"/>
                <w:highlight w:val="none"/>
              </w:rPr>
              <w:t>2</w:t>
            </w:r>
            <w:r>
              <w:rPr>
                <w:rFonts w:hint="eastAsia"/>
                <w:sz w:val="18"/>
                <w:szCs w:val="18"/>
                <w:highlight w:val="none"/>
                <w:lang w:eastAsia="zh-CN"/>
              </w:rPr>
              <w:t>4</w:t>
            </w:r>
          </w:p>
        </w:tc>
        <w:tc>
          <w:tcPr>
            <w:tcW w:w="988" w:type="dxa"/>
            <w:vMerge w:val="continue"/>
            <w:tcBorders>
              <w:left w:val="single" w:color="auto" w:sz="4" w:space="0"/>
              <w:right w:val="single" w:color="auto" w:sz="4" w:space="0"/>
            </w:tcBorders>
            <w:shd w:val="clear" w:color="auto" w:fill="auto"/>
            <w:vAlign w:val="center"/>
          </w:tcPr>
          <w:p>
            <w:pPr>
              <w:pStyle w:val="46"/>
              <w:spacing w:before="1" w:line="213" w:lineRule="auto"/>
              <w:ind w:left="246" w:right="36" w:hanging="200"/>
              <w:rPr>
                <w:sz w:val="18"/>
                <w:szCs w:val="18"/>
                <w:highlight w:val="none"/>
              </w:rPr>
            </w:pP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37" w:right="24"/>
              <w:rPr>
                <w:sz w:val="18"/>
                <w:szCs w:val="18"/>
                <w:highlight w:val="none"/>
                <w:lang w:eastAsia="zh-CN"/>
              </w:rPr>
            </w:pPr>
            <w:r>
              <w:rPr>
                <w:rFonts w:hint="eastAsia"/>
                <w:sz w:val="18"/>
                <w:szCs w:val="18"/>
                <w:highlight w:val="none"/>
                <w:lang w:eastAsia="zh-CN"/>
              </w:rPr>
              <w:t>32有色金属冶炼和压延加工业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109" w:right="22" w:hanging="80"/>
              <w:rPr>
                <w:sz w:val="18"/>
                <w:szCs w:val="18"/>
                <w:highlight w:val="none"/>
              </w:rPr>
            </w:pPr>
            <w:r>
              <w:rPr>
                <w:rFonts w:hint="eastAsia"/>
                <w:sz w:val="18"/>
                <w:szCs w:val="18"/>
                <w:highlight w:val="none"/>
              </w:rPr>
              <w:t>322贵金属冶炼</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line="255" w:lineRule="exact"/>
              <w:ind w:left="83"/>
              <w:rPr>
                <w:sz w:val="18"/>
                <w:szCs w:val="18"/>
                <w:highlight w:val="none"/>
              </w:rPr>
            </w:pPr>
            <w:r>
              <w:rPr>
                <w:rFonts w:hint="eastAsia"/>
                <w:sz w:val="18"/>
                <w:szCs w:val="18"/>
                <w:highlight w:val="none"/>
              </w:rPr>
              <w:t>3263贵</w:t>
            </w:r>
          </w:p>
          <w:p>
            <w:pPr>
              <w:pStyle w:val="46"/>
              <w:spacing w:before="8" w:line="213" w:lineRule="auto"/>
              <w:ind w:left="107" w:right="98"/>
              <w:rPr>
                <w:sz w:val="18"/>
                <w:szCs w:val="18"/>
                <w:highlight w:val="none"/>
              </w:rPr>
            </w:pPr>
            <w:r>
              <w:rPr>
                <w:rFonts w:hint="eastAsia"/>
                <w:sz w:val="18"/>
                <w:szCs w:val="18"/>
                <w:highlight w:val="none"/>
              </w:rPr>
              <w:t>金属压延加工</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规划发展产业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26" w:right="7"/>
              <w:rPr>
                <w:sz w:val="18"/>
                <w:szCs w:val="18"/>
                <w:highlight w:val="none"/>
                <w:lang w:eastAsia="zh-CN"/>
              </w:rPr>
            </w:pPr>
            <w:r>
              <w:rPr>
                <w:rFonts w:hint="eastAsia"/>
                <w:sz w:val="18"/>
                <w:szCs w:val="18"/>
                <w:highlight w:val="none"/>
                <w:lang w:eastAsia="zh-CN"/>
              </w:rPr>
              <w:t>1.新建项目清洁生产水平不得低于清洁生产国内先进水平，并一律进入完成生态化改造的工业园区；</w:t>
            </w:r>
          </w:p>
          <w:p>
            <w:pPr>
              <w:pStyle w:val="46"/>
              <w:spacing w:before="2" w:line="213" w:lineRule="auto"/>
              <w:ind w:left="26" w:right="86"/>
              <w:rPr>
                <w:sz w:val="18"/>
                <w:szCs w:val="18"/>
                <w:highlight w:val="none"/>
                <w:lang w:eastAsia="zh-CN"/>
              </w:rPr>
            </w:pPr>
            <w:r>
              <w:rPr>
                <w:rFonts w:hint="eastAsia"/>
                <w:sz w:val="18"/>
                <w:szCs w:val="18"/>
                <w:highlight w:val="none"/>
                <w:lang w:eastAsia="zh-CN"/>
              </w:rPr>
              <w:t>3.新建项目“三废”排放标准要严于国家排放标准</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416" w:type="dxa"/>
            <w:tcBorders>
              <w:right w:val="single" w:color="auto" w:sz="4" w:space="0"/>
            </w:tcBorders>
            <w:shd w:val="clear" w:color="auto" w:fill="auto"/>
            <w:vAlign w:val="center"/>
          </w:tcPr>
          <w:p>
            <w:pPr>
              <w:pStyle w:val="46"/>
              <w:spacing w:before="1"/>
              <w:ind w:left="102"/>
              <w:rPr>
                <w:sz w:val="18"/>
                <w:szCs w:val="18"/>
                <w:highlight w:val="none"/>
                <w:lang w:eastAsia="zh-CN"/>
              </w:rPr>
            </w:pPr>
            <w:r>
              <w:rPr>
                <w:rFonts w:hint="eastAsia"/>
                <w:sz w:val="18"/>
                <w:szCs w:val="18"/>
                <w:highlight w:val="none"/>
              </w:rPr>
              <w:t>2</w:t>
            </w:r>
            <w:r>
              <w:rPr>
                <w:rFonts w:hint="eastAsia"/>
                <w:sz w:val="18"/>
                <w:szCs w:val="18"/>
                <w:highlight w:val="none"/>
                <w:lang w:eastAsia="zh-CN"/>
              </w:rPr>
              <w:t>5</w:t>
            </w:r>
          </w:p>
        </w:tc>
        <w:tc>
          <w:tcPr>
            <w:tcW w:w="988" w:type="dxa"/>
            <w:vMerge w:val="continue"/>
            <w:tcBorders>
              <w:left w:val="single" w:color="auto" w:sz="4" w:space="0"/>
              <w:right w:val="single" w:color="auto" w:sz="4" w:space="0"/>
            </w:tcBorders>
            <w:shd w:val="clear" w:color="auto" w:fill="auto"/>
            <w:vAlign w:val="center"/>
          </w:tcPr>
          <w:p>
            <w:pPr>
              <w:jc w:val="center"/>
              <w:rPr>
                <w:sz w:val="18"/>
                <w:szCs w:val="18"/>
                <w:highlight w:val="none"/>
              </w:rPr>
            </w:pP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53" w:line="213" w:lineRule="auto"/>
              <w:ind w:left="37" w:right="24"/>
              <w:rPr>
                <w:sz w:val="18"/>
                <w:szCs w:val="18"/>
                <w:highlight w:val="none"/>
                <w:lang w:eastAsia="zh-CN"/>
              </w:rPr>
            </w:pPr>
            <w:r>
              <w:rPr>
                <w:rFonts w:hint="eastAsia"/>
                <w:sz w:val="18"/>
                <w:szCs w:val="18"/>
                <w:highlight w:val="none"/>
              </w:rPr>
              <w:t>33金属制造业</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33" w:line="213" w:lineRule="auto"/>
              <w:ind w:left="30" w:right="22"/>
              <w:rPr>
                <w:sz w:val="18"/>
                <w:szCs w:val="18"/>
                <w:highlight w:val="none"/>
              </w:rPr>
            </w:pPr>
            <w:r>
              <w:rPr>
                <w:rFonts w:hint="eastAsia"/>
                <w:sz w:val="18"/>
                <w:szCs w:val="18"/>
                <w:highlight w:val="none"/>
              </w:rPr>
              <w:t>331结构性金属制品制造</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30" w:line="255" w:lineRule="exact"/>
              <w:ind w:right="53"/>
              <w:rPr>
                <w:sz w:val="18"/>
                <w:szCs w:val="18"/>
                <w:highlight w:val="none"/>
              </w:rPr>
            </w:pPr>
            <w:r>
              <w:rPr>
                <w:rFonts w:hint="eastAsia"/>
                <w:sz w:val="18"/>
                <w:szCs w:val="18"/>
                <w:highlight w:val="none"/>
              </w:rPr>
              <w:t>3311金属结构制造</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40" w:right="30"/>
              <w:rPr>
                <w:sz w:val="18"/>
                <w:szCs w:val="18"/>
                <w:highlight w:val="none"/>
              </w:rPr>
            </w:pPr>
            <w:r>
              <w:rPr>
                <w:rFonts w:hint="eastAsia"/>
                <w:sz w:val="18"/>
                <w:szCs w:val="18"/>
                <w:highlight w:val="none"/>
              </w:rPr>
              <w:t>现有一般产业</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before="1"/>
              <w:ind w:left="26"/>
              <w:rPr>
                <w:sz w:val="18"/>
                <w:szCs w:val="18"/>
                <w:highlight w:val="none"/>
                <w:lang w:eastAsia="zh-CN"/>
              </w:rPr>
            </w:pPr>
            <w:r>
              <w:rPr>
                <w:rFonts w:hint="eastAsia"/>
                <w:sz w:val="18"/>
                <w:szCs w:val="18"/>
                <w:highlight w:val="none"/>
                <w:lang w:eastAsia="zh-CN"/>
              </w:rPr>
              <w:t>限制发展非数控金属切削机床制造项目</w:t>
            </w:r>
          </w:p>
        </w:tc>
        <w:tc>
          <w:tcPr>
            <w:tcW w:w="2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rFonts w:hint="eastAsia"/>
                <w:sz w:val="18"/>
                <w:szCs w:val="18"/>
                <w:highlight w:val="none"/>
                <w:lang w:eastAsia="zh-CN"/>
              </w:rPr>
              <w:t>《指导目录》中限制类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3" w:hRule="atLeast"/>
          <w:jc w:val="center"/>
        </w:trPr>
        <w:tc>
          <w:tcPr>
            <w:tcW w:w="9739" w:type="dxa"/>
            <w:gridSpan w:val="8"/>
            <w:tcBorders>
              <w:right w:val="single" w:color="auto" w:sz="4" w:space="0"/>
            </w:tcBorders>
            <w:shd w:val="clear" w:color="auto" w:fill="auto"/>
            <w:vAlign w:val="center"/>
          </w:tcPr>
          <w:p>
            <w:pPr>
              <w:pStyle w:val="46"/>
              <w:spacing w:line="213" w:lineRule="auto"/>
              <w:ind w:left="511" w:right="82" w:hanging="421"/>
              <w:rPr>
                <w:sz w:val="18"/>
                <w:szCs w:val="18"/>
                <w:highlight w:val="none"/>
                <w:lang w:eastAsia="zh-CN"/>
              </w:rPr>
            </w:pPr>
            <w:r>
              <w:rPr>
                <w:sz w:val="18"/>
                <w:szCs w:val="18"/>
                <w:highlight w:val="none"/>
              </w:rPr>
              <w:t>禁止类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3" w:hRule="atLeast"/>
          <w:jc w:val="center"/>
        </w:trPr>
        <w:tc>
          <w:tcPr>
            <w:tcW w:w="9739" w:type="dxa"/>
            <w:gridSpan w:val="8"/>
            <w:tcBorders>
              <w:right w:val="single" w:color="auto" w:sz="4" w:space="0"/>
            </w:tcBorders>
            <w:shd w:val="clear" w:color="auto" w:fill="auto"/>
            <w:vAlign w:val="center"/>
          </w:tcPr>
          <w:p>
            <w:pPr>
              <w:pStyle w:val="46"/>
              <w:spacing w:before="33" w:line="213" w:lineRule="auto"/>
              <w:ind w:left="28" w:right="137"/>
              <w:jc w:val="both"/>
              <w:rPr>
                <w:sz w:val="21"/>
                <w:highlight w:val="none"/>
                <w:lang w:eastAsia="zh-CN"/>
              </w:rPr>
            </w:pPr>
            <w:r>
              <w:rPr>
                <w:rFonts w:hint="eastAsia"/>
                <w:sz w:val="21"/>
                <w:highlight w:val="none"/>
                <w:lang w:eastAsia="zh-CN"/>
              </w:rPr>
              <w:t>1.禁止建设国家现行产业政策明令限制、禁止或淘汰的项目；禁止建设产能严重过剩行业项目；禁止建设落后生产工艺或设备、落后生产能力项目；禁止建设不符合国家相关行业准入条件的项目。</w:t>
            </w:r>
          </w:p>
          <w:p>
            <w:pPr>
              <w:pStyle w:val="46"/>
              <w:spacing w:line="233" w:lineRule="exact"/>
              <w:ind w:left="28"/>
              <w:jc w:val="both"/>
              <w:rPr>
                <w:sz w:val="21"/>
                <w:highlight w:val="none"/>
                <w:lang w:eastAsia="zh-CN"/>
              </w:rPr>
            </w:pPr>
            <w:r>
              <w:rPr>
                <w:rFonts w:hint="eastAsia"/>
                <w:sz w:val="21"/>
                <w:highlight w:val="none"/>
                <w:lang w:eastAsia="zh-CN"/>
              </w:rPr>
              <w:t>2.禁止建设未通过自治区“两高”审查会审查的高能耗、高污染项目。</w:t>
            </w:r>
          </w:p>
          <w:p>
            <w:pPr>
              <w:pStyle w:val="46"/>
              <w:spacing w:line="240" w:lineRule="exact"/>
              <w:ind w:left="28"/>
              <w:jc w:val="both"/>
              <w:rPr>
                <w:sz w:val="21"/>
                <w:highlight w:val="none"/>
                <w:lang w:eastAsia="zh-CN"/>
              </w:rPr>
            </w:pPr>
            <w:r>
              <w:rPr>
                <w:rFonts w:hint="eastAsia"/>
                <w:sz w:val="21"/>
                <w:highlight w:val="none"/>
                <w:lang w:eastAsia="zh-CN"/>
              </w:rPr>
              <w:t>3.禁止建设废水经预处理达不到污水处理厂接管标准的项目。</w:t>
            </w:r>
          </w:p>
          <w:p>
            <w:pPr>
              <w:pStyle w:val="46"/>
              <w:spacing w:line="240" w:lineRule="exact"/>
              <w:ind w:left="28"/>
              <w:jc w:val="both"/>
              <w:rPr>
                <w:sz w:val="21"/>
                <w:highlight w:val="none"/>
                <w:lang w:eastAsia="zh-CN"/>
              </w:rPr>
            </w:pPr>
            <w:r>
              <w:rPr>
                <w:rFonts w:hint="eastAsia"/>
                <w:sz w:val="21"/>
                <w:highlight w:val="none"/>
                <w:lang w:eastAsia="zh-CN"/>
              </w:rPr>
              <w:t>4.禁止建设在采取风险防范措施后仍存在重大环境风险的项目。</w:t>
            </w:r>
          </w:p>
          <w:p>
            <w:pPr>
              <w:pStyle w:val="46"/>
              <w:spacing w:line="240" w:lineRule="exact"/>
              <w:ind w:left="28"/>
              <w:jc w:val="both"/>
              <w:rPr>
                <w:sz w:val="21"/>
                <w:highlight w:val="none"/>
                <w:lang w:eastAsia="zh-CN"/>
              </w:rPr>
            </w:pPr>
            <w:r>
              <w:rPr>
                <w:rFonts w:hint="eastAsia"/>
                <w:sz w:val="21"/>
                <w:highlight w:val="none"/>
                <w:lang w:eastAsia="zh-CN"/>
              </w:rPr>
              <w:t>5.禁止发展废气、废水、废渣排放量大的化工、有色金属原矿冶炼、湿法冶金等行业。</w:t>
            </w:r>
          </w:p>
          <w:p>
            <w:pPr>
              <w:pStyle w:val="46"/>
              <w:spacing w:line="240" w:lineRule="exact"/>
              <w:ind w:left="28"/>
              <w:jc w:val="both"/>
              <w:rPr>
                <w:sz w:val="21"/>
                <w:highlight w:val="none"/>
                <w:lang w:eastAsia="zh-CN"/>
              </w:rPr>
            </w:pPr>
            <w:r>
              <w:rPr>
                <w:rFonts w:hint="eastAsia"/>
                <w:sz w:val="21"/>
                <w:highlight w:val="none"/>
                <w:lang w:eastAsia="zh-CN"/>
              </w:rPr>
              <w:t>6.禁止建设大量储存有毒、有害、易燃、易爆等化学危险品的行业。</w:t>
            </w:r>
          </w:p>
          <w:p>
            <w:pPr>
              <w:pStyle w:val="46"/>
              <w:spacing w:line="240" w:lineRule="exact"/>
              <w:ind w:left="28"/>
              <w:jc w:val="both"/>
              <w:rPr>
                <w:sz w:val="21"/>
                <w:highlight w:val="none"/>
                <w:lang w:eastAsia="zh-CN"/>
              </w:rPr>
            </w:pPr>
            <w:r>
              <w:rPr>
                <w:rFonts w:hint="eastAsia"/>
                <w:sz w:val="21"/>
                <w:highlight w:val="none"/>
                <w:lang w:eastAsia="zh-CN"/>
              </w:rPr>
              <w:t>7.禁止清洁生产水平低的企业入园。</w:t>
            </w:r>
          </w:p>
          <w:p>
            <w:pPr>
              <w:pStyle w:val="46"/>
              <w:spacing w:line="213" w:lineRule="auto"/>
              <w:ind w:right="82"/>
              <w:jc w:val="both"/>
              <w:rPr>
                <w:sz w:val="18"/>
                <w:szCs w:val="18"/>
                <w:highlight w:val="none"/>
                <w:lang w:eastAsia="zh-CN"/>
              </w:rPr>
            </w:pPr>
            <w:r>
              <w:rPr>
                <w:rFonts w:hint="eastAsia"/>
                <w:sz w:val="21"/>
                <w:highlight w:val="none"/>
                <w:lang w:eastAsia="zh-CN"/>
              </w:rPr>
              <w:t>8.禁止发展生产事故、污染事故发生概率相对较高的行业。</w:t>
            </w:r>
          </w:p>
        </w:tc>
      </w:tr>
    </w:tbl>
    <w:p>
      <w:pPr>
        <w:spacing w:before="56" w:line="340" w:lineRule="auto"/>
        <w:ind w:left="100" w:right="424"/>
        <w:rPr>
          <w:sz w:val="21"/>
          <w:highlight w:val="none"/>
          <w:lang w:eastAsia="zh-CN"/>
        </w:rPr>
      </w:pPr>
      <w:r>
        <w:rPr>
          <w:sz w:val="21"/>
          <w:highlight w:val="none"/>
          <w:lang w:eastAsia="zh-CN"/>
        </w:rPr>
        <w:t>注：表中《指导目录》指的是《产业结构调整指导目录（</w:t>
      </w:r>
      <w:r>
        <w:rPr>
          <w:rFonts w:ascii="Times New Roman" w:eastAsia="Times New Roman"/>
          <w:sz w:val="21"/>
          <w:highlight w:val="none"/>
          <w:lang w:eastAsia="zh-CN"/>
        </w:rPr>
        <w:t>2024</w:t>
      </w:r>
      <w:r>
        <w:rPr>
          <w:sz w:val="21"/>
          <w:highlight w:val="none"/>
          <w:lang w:eastAsia="zh-CN"/>
        </w:rPr>
        <w:t>年本）</w:t>
      </w:r>
      <w:r>
        <w:rPr>
          <w:rFonts w:hint="eastAsia"/>
          <w:sz w:val="21"/>
          <w:highlight w:val="none"/>
          <w:lang w:eastAsia="zh-CN"/>
        </w:rPr>
        <w:t>》《</w:t>
      </w:r>
      <w:r>
        <w:rPr>
          <w:sz w:val="21"/>
          <w:highlight w:val="none"/>
          <w:lang w:eastAsia="zh-CN"/>
        </w:rPr>
        <w:t>自然资源要素支撑产业高质量发展指导目录（</w:t>
      </w:r>
      <w:r>
        <w:rPr>
          <w:rFonts w:ascii="Times New Roman" w:eastAsia="Times New Roman"/>
          <w:sz w:val="21"/>
          <w:highlight w:val="none"/>
          <w:lang w:eastAsia="zh-CN"/>
        </w:rPr>
        <w:t>2024</w:t>
      </w:r>
      <w:r>
        <w:rPr>
          <w:sz w:val="21"/>
          <w:highlight w:val="none"/>
          <w:lang w:eastAsia="zh-CN"/>
        </w:rPr>
        <w:t>年本）》。</w:t>
      </w:r>
    </w:p>
    <w:p>
      <w:pPr>
        <w:spacing w:line="213" w:lineRule="auto"/>
        <w:jc w:val="both"/>
        <w:rPr>
          <w:sz w:val="21"/>
          <w:highlight w:val="none"/>
          <w:lang w:eastAsia="zh-CN"/>
        </w:rPr>
      </w:pPr>
    </w:p>
    <w:p>
      <w:pPr>
        <w:spacing w:line="213" w:lineRule="auto"/>
        <w:jc w:val="both"/>
        <w:rPr>
          <w:sz w:val="21"/>
          <w:highlight w:val="none"/>
          <w:lang w:eastAsia="zh-CN"/>
        </w:rPr>
      </w:pPr>
    </w:p>
    <w:p>
      <w:pPr>
        <w:spacing w:line="213" w:lineRule="auto"/>
        <w:jc w:val="both"/>
        <w:rPr>
          <w:sz w:val="21"/>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52" w:name="_bookmark38"/>
      <w:bookmarkEnd w:id="52"/>
      <w:r>
        <w:rPr>
          <w:rFonts w:ascii="微软雅黑" w:hAnsi="微软雅黑" w:eastAsia="微软雅黑" w:cs="微软雅黑"/>
          <w:b/>
          <w:bCs/>
          <w:color w:val="auto"/>
          <w:sz w:val="30"/>
          <w:szCs w:val="30"/>
          <w:highlight w:val="none"/>
          <w:lang w:eastAsia="zh-CN"/>
        </w:rPr>
        <w:t>附表五 乡村公共服务设施、市政公用设施配置表</w:t>
      </w:r>
    </w:p>
    <w:tbl>
      <w:tblPr>
        <w:tblStyle w:val="44"/>
        <w:tblW w:w="9734"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1439"/>
        <w:gridCol w:w="3235"/>
        <w:gridCol w:w="1276"/>
        <w:gridCol w:w="3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564" w:type="dxa"/>
            <w:vAlign w:val="center"/>
          </w:tcPr>
          <w:p>
            <w:pPr>
              <w:pStyle w:val="46"/>
              <w:spacing w:before="37"/>
              <w:ind w:left="71"/>
              <w:rPr>
                <w:b/>
                <w:sz w:val="21"/>
                <w:highlight w:val="none"/>
              </w:rPr>
            </w:pPr>
            <w:r>
              <w:rPr>
                <w:rFonts w:hint="eastAsia"/>
                <w:b/>
                <w:sz w:val="21"/>
                <w:highlight w:val="none"/>
              </w:rPr>
              <w:t>分类</w:t>
            </w:r>
          </w:p>
        </w:tc>
        <w:tc>
          <w:tcPr>
            <w:tcW w:w="1439" w:type="dxa"/>
            <w:vAlign w:val="center"/>
          </w:tcPr>
          <w:p>
            <w:pPr>
              <w:pStyle w:val="46"/>
              <w:spacing w:before="37"/>
              <w:ind w:left="59" w:right="43"/>
              <w:rPr>
                <w:b/>
                <w:sz w:val="21"/>
                <w:highlight w:val="none"/>
              </w:rPr>
            </w:pPr>
            <w:r>
              <w:rPr>
                <w:rFonts w:hint="eastAsia"/>
                <w:b/>
                <w:sz w:val="21"/>
                <w:highlight w:val="none"/>
              </w:rPr>
              <w:t>设施名称</w:t>
            </w:r>
          </w:p>
        </w:tc>
        <w:tc>
          <w:tcPr>
            <w:tcW w:w="3235" w:type="dxa"/>
            <w:vAlign w:val="center"/>
          </w:tcPr>
          <w:p>
            <w:pPr>
              <w:pStyle w:val="46"/>
              <w:spacing w:before="37"/>
              <w:ind w:left="54" w:right="36"/>
              <w:rPr>
                <w:b/>
                <w:sz w:val="21"/>
                <w:highlight w:val="none"/>
              </w:rPr>
            </w:pPr>
            <w:r>
              <w:rPr>
                <w:rFonts w:hint="eastAsia"/>
                <w:b/>
                <w:sz w:val="21"/>
                <w:highlight w:val="none"/>
              </w:rPr>
              <w:t>建设内容</w:t>
            </w:r>
          </w:p>
        </w:tc>
        <w:tc>
          <w:tcPr>
            <w:tcW w:w="1276" w:type="dxa"/>
            <w:vAlign w:val="center"/>
          </w:tcPr>
          <w:p>
            <w:pPr>
              <w:pStyle w:val="46"/>
              <w:spacing w:line="231" w:lineRule="exact"/>
              <w:ind w:left="218"/>
              <w:rPr>
                <w:b/>
                <w:sz w:val="21"/>
                <w:highlight w:val="none"/>
              </w:rPr>
            </w:pPr>
            <w:r>
              <w:rPr>
                <w:rFonts w:hint="eastAsia"/>
                <w:b/>
                <w:sz w:val="21"/>
                <w:highlight w:val="none"/>
              </w:rPr>
              <w:t>建设标准</w:t>
            </w:r>
          </w:p>
          <w:p>
            <w:pPr>
              <w:pStyle w:val="46"/>
              <w:spacing w:line="231" w:lineRule="exact"/>
              <w:ind w:left="287"/>
              <w:rPr>
                <w:b/>
                <w:sz w:val="21"/>
                <w:highlight w:val="none"/>
              </w:rPr>
            </w:pPr>
            <w:r>
              <w:rPr>
                <w:rFonts w:hint="eastAsia"/>
                <w:b/>
                <w:w w:val="105"/>
                <w:sz w:val="21"/>
                <w:highlight w:val="none"/>
                <w:lang w:eastAsia="zh-CN"/>
              </w:rPr>
              <w:t>(</w:t>
            </w:r>
            <w:r>
              <w:rPr>
                <w:rFonts w:hint="eastAsia"/>
                <w:b/>
                <w:w w:val="105"/>
                <w:sz w:val="21"/>
                <w:highlight w:val="none"/>
              </w:rPr>
              <w:t>m²</w:t>
            </w:r>
            <w:r>
              <w:rPr>
                <w:rFonts w:hint="eastAsia"/>
                <w:b/>
                <w:w w:val="105"/>
                <w:sz w:val="21"/>
                <w:highlight w:val="none"/>
                <w:lang w:eastAsia="zh-CN"/>
              </w:rPr>
              <w:t>)</w:t>
            </w:r>
          </w:p>
        </w:tc>
        <w:tc>
          <w:tcPr>
            <w:tcW w:w="3220" w:type="dxa"/>
            <w:vAlign w:val="center"/>
          </w:tcPr>
          <w:p>
            <w:pPr>
              <w:pStyle w:val="46"/>
              <w:spacing w:before="37"/>
              <w:ind w:left="122" w:right="105"/>
              <w:rPr>
                <w:b/>
                <w:sz w:val="21"/>
                <w:highlight w:val="none"/>
              </w:rPr>
            </w:pPr>
            <w:r>
              <w:rPr>
                <w:rFonts w:hint="eastAsia"/>
                <w:b/>
                <w:sz w:val="21"/>
                <w:highlight w:val="none"/>
              </w:rPr>
              <w:t>配置说明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564" w:type="dxa"/>
            <w:vAlign w:val="center"/>
          </w:tcPr>
          <w:p>
            <w:pPr>
              <w:pStyle w:val="46"/>
              <w:spacing w:before="125" w:line="213" w:lineRule="auto"/>
              <w:ind w:left="71" w:right="57"/>
              <w:rPr>
                <w:sz w:val="21"/>
                <w:highlight w:val="none"/>
              </w:rPr>
            </w:pPr>
            <w:r>
              <w:rPr>
                <w:rFonts w:hint="eastAsia"/>
                <w:sz w:val="21"/>
                <w:highlight w:val="none"/>
              </w:rPr>
              <w:t>行政管理</w:t>
            </w:r>
          </w:p>
        </w:tc>
        <w:tc>
          <w:tcPr>
            <w:tcW w:w="1439" w:type="dxa"/>
            <w:vAlign w:val="center"/>
          </w:tcPr>
          <w:p>
            <w:pPr>
              <w:pStyle w:val="46"/>
              <w:rPr>
                <w:b/>
                <w:sz w:val="12"/>
                <w:highlight w:val="none"/>
              </w:rPr>
            </w:pPr>
          </w:p>
          <w:p>
            <w:pPr>
              <w:pStyle w:val="46"/>
              <w:ind w:left="59" w:right="43"/>
              <w:rPr>
                <w:sz w:val="21"/>
                <w:highlight w:val="none"/>
              </w:rPr>
            </w:pPr>
            <w:r>
              <w:rPr>
                <w:rFonts w:hint="eastAsia"/>
                <w:sz w:val="21"/>
                <w:highlight w:val="none"/>
              </w:rPr>
              <w:t>村务室</w:t>
            </w:r>
          </w:p>
        </w:tc>
        <w:tc>
          <w:tcPr>
            <w:tcW w:w="3235" w:type="dxa"/>
            <w:vAlign w:val="center"/>
          </w:tcPr>
          <w:p>
            <w:pPr>
              <w:pStyle w:val="46"/>
              <w:spacing w:line="240" w:lineRule="exact"/>
              <w:ind w:left="56" w:right="36"/>
              <w:rPr>
                <w:sz w:val="21"/>
                <w:highlight w:val="none"/>
                <w:lang w:eastAsia="zh-CN"/>
              </w:rPr>
            </w:pPr>
            <w:r>
              <w:rPr>
                <w:rFonts w:hint="eastAsia"/>
                <w:sz w:val="21"/>
                <w:highlight w:val="none"/>
                <w:lang w:eastAsia="zh-CN"/>
              </w:rPr>
              <w:t>就地办理计划生育、建房申请、外来人口登记、农机耕作、水电维修等与农民相关的事务</w:t>
            </w:r>
          </w:p>
        </w:tc>
        <w:tc>
          <w:tcPr>
            <w:tcW w:w="1276" w:type="dxa"/>
            <w:vAlign w:val="center"/>
          </w:tcPr>
          <w:p>
            <w:pPr>
              <w:pStyle w:val="46"/>
              <w:spacing w:before="102" w:line="255" w:lineRule="exact"/>
              <w:ind w:left="60" w:right="45"/>
              <w:rPr>
                <w:sz w:val="21"/>
                <w:highlight w:val="none"/>
              </w:rPr>
            </w:pPr>
            <w:r>
              <w:rPr>
                <w:rFonts w:hint="eastAsia"/>
                <w:sz w:val="21"/>
                <w:highlight w:val="none"/>
              </w:rPr>
              <w:t>100～200</w:t>
            </w:r>
            <w:r>
              <w:rPr>
                <w:rFonts w:hint="eastAsia"/>
                <w:sz w:val="21"/>
                <w:highlight w:val="none"/>
                <w:lang w:eastAsia="zh-CN"/>
              </w:rPr>
              <w:t>（</w:t>
            </w:r>
            <w:r>
              <w:rPr>
                <w:rFonts w:hint="eastAsia"/>
                <w:sz w:val="21"/>
                <w:highlight w:val="none"/>
              </w:rPr>
              <w:t>建筑面积)</w:t>
            </w:r>
          </w:p>
        </w:tc>
        <w:tc>
          <w:tcPr>
            <w:tcW w:w="3220" w:type="dxa"/>
            <w:vAlign w:val="center"/>
          </w:tcPr>
          <w:p>
            <w:pPr>
              <w:pStyle w:val="46"/>
              <w:rPr>
                <w:b/>
                <w:sz w:val="12"/>
                <w:highlight w:val="none"/>
              </w:rPr>
            </w:pPr>
          </w:p>
          <w:p>
            <w:pPr>
              <w:pStyle w:val="46"/>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Merge w:val="restart"/>
            <w:vAlign w:val="center"/>
          </w:tcPr>
          <w:p>
            <w:pPr>
              <w:pStyle w:val="46"/>
              <w:spacing w:line="213" w:lineRule="auto"/>
              <w:ind w:left="71" w:right="57"/>
              <w:rPr>
                <w:sz w:val="21"/>
                <w:highlight w:val="none"/>
              </w:rPr>
            </w:pPr>
            <w:r>
              <w:rPr>
                <w:rFonts w:hint="eastAsia"/>
                <w:sz w:val="21"/>
                <w:highlight w:val="none"/>
              </w:rPr>
              <w:t>商业服务</w:t>
            </w:r>
          </w:p>
        </w:tc>
        <w:tc>
          <w:tcPr>
            <w:tcW w:w="1439" w:type="dxa"/>
            <w:vAlign w:val="center"/>
          </w:tcPr>
          <w:p>
            <w:pPr>
              <w:pStyle w:val="46"/>
              <w:spacing w:before="101"/>
              <w:ind w:left="58" w:right="44"/>
              <w:rPr>
                <w:sz w:val="21"/>
                <w:highlight w:val="none"/>
              </w:rPr>
            </w:pPr>
            <w:r>
              <w:rPr>
                <w:rFonts w:hint="eastAsia"/>
                <w:sz w:val="21"/>
                <w:highlight w:val="none"/>
              </w:rPr>
              <w:t>便民农家店</w:t>
            </w:r>
          </w:p>
        </w:tc>
        <w:tc>
          <w:tcPr>
            <w:tcW w:w="3235" w:type="dxa"/>
            <w:vAlign w:val="center"/>
          </w:tcPr>
          <w:p>
            <w:pPr>
              <w:pStyle w:val="46"/>
              <w:spacing w:line="236" w:lineRule="exact"/>
              <w:ind w:left="37" w:right="20"/>
              <w:rPr>
                <w:sz w:val="21"/>
                <w:highlight w:val="none"/>
                <w:lang w:eastAsia="zh-CN"/>
              </w:rPr>
            </w:pPr>
            <w:r>
              <w:rPr>
                <w:rFonts w:hint="eastAsia"/>
                <w:sz w:val="21"/>
                <w:highlight w:val="none"/>
                <w:lang w:eastAsia="zh-CN"/>
              </w:rPr>
              <w:t>便民商业，可包含邮件快递服务等</w:t>
            </w:r>
          </w:p>
          <w:p>
            <w:pPr>
              <w:pStyle w:val="46"/>
              <w:spacing w:line="223" w:lineRule="exact"/>
              <w:ind w:left="54" w:right="36"/>
              <w:rPr>
                <w:sz w:val="21"/>
                <w:highlight w:val="none"/>
              </w:rPr>
            </w:pPr>
            <w:r>
              <w:rPr>
                <w:rFonts w:hint="eastAsia"/>
                <w:sz w:val="21"/>
                <w:highlight w:val="none"/>
              </w:rPr>
              <w:t>功能</w:t>
            </w:r>
          </w:p>
        </w:tc>
        <w:tc>
          <w:tcPr>
            <w:tcW w:w="1276" w:type="dxa"/>
            <w:vAlign w:val="center"/>
          </w:tcPr>
          <w:p>
            <w:pPr>
              <w:pStyle w:val="46"/>
              <w:spacing w:line="236" w:lineRule="exact"/>
              <w:ind w:left="60" w:right="45"/>
              <w:rPr>
                <w:sz w:val="21"/>
                <w:highlight w:val="none"/>
              </w:rPr>
            </w:pPr>
            <w:r>
              <w:rPr>
                <w:rFonts w:hint="eastAsia"/>
                <w:sz w:val="21"/>
                <w:highlight w:val="none"/>
              </w:rPr>
              <w:t>120～250</w:t>
            </w:r>
            <w:r>
              <w:rPr>
                <w:rFonts w:hint="eastAsia"/>
                <w:sz w:val="21"/>
                <w:highlight w:val="none"/>
                <w:lang w:eastAsia="zh-CN"/>
              </w:rPr>
              <w:t>（</w:t>
            </w:r>
            <w:r>
              <w:rPr>
                <w:rFonts w:hint="eastAsia"/>
                <w:sz w:val="21"/>
                <w:highlight w:val="none"/>
              </w:rPr>
              <w:t>建筑面积)</w:t>
            </w:r>
          </w:p>
        </w:tc>
        <w:tc>
          <w:tcPr>
            <w:tcW w:w="3220" w:type="dxa"/>
            <w:vAlign w:val="center"/>
          </w:tcPr>
          <w:p>
            <w:pPr>
              <w:pStyle w:val="46"/>
              <w:spacing w:before="101"/>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40" w:lineRule="exact"/>
              <w:ind w:left="602" w:right="60" w:hanging="524"/>
              <w:rPr>
                <w:sz w:val="21"/>
                <w:highlight w:val="none"/>
              </w:rPr>
            </w:pPr>
            <w:r>
              <w:rPr>
                <w:rFonts w:hint="eastAsia"/>
                <w:sz w:val="21"/>
                <w:highlight w:val="none"/>
              </w:rPr>
              <w:t>金融电信服务点</w:t>
            </w:r>
          </w:p>
        </w:tc>
        <w:tc>
          <w:tcPr>
            <w:tcW w:w="3235" w:type="dxa"/>
            <w:vAlign w:val="center"/>
          </w:tcPr>
          <w:p>
            <w:pPr>
              <w:pStyle w:val="46"/>
              <w:spacing w:line="240" w:lineRule="exact"/>
              <w:ind w:left="159" w:right="36" w:hanging="104"/>
              <w:rPr>
                <w:sz w:val="21"/>
                <w:highlight w:val="none"/>
                <w:lang w:eastAsia="zh-CN"/>
              </w:rPr>
            </w:pPr>
            <w:r>
              <w:rPr>
                <w:rFonts w:hint="eastAsia"/>
                <w:sz w:val="21"/>
                <w:highlight w:val="none"/>
                <w:lang w:eastAsia="zh-CN"/>
              </w:rPr>
              <w:t>金融知识宣传农村金融服务、咨询代理金融业务、农户信用采集等</w:t>
            </w:r>
          </w:p>
        </w:tc>
        <w:tc>
          <w:tcPr>
            <w:tcW w:w="1276" w:type="dxa"/>
            <w:vAlign w:val="center"/>
          </w:tcPr>
          <w:p>
            <w:pPr>
              <w:pStyle w:val="46"/>
              <w:spacing w:before="102"/>
              <w:ind w:left="15"/>
              <w:rPr>
                <w:sz w:val="21"/>
                <w:highlight w:val="none"/>
              </w:rPr>
            </w:pPr>
            <w:r>
              <w:rPr>
                <w:rFonts w:hint="eastAsia"/>
                <w:sz w:val="21"/>
                <w:highlight w:val="none"/>
              </w:rPr>
              <w:t>—</w:t>
            </w:r>
          </w:p>
        </w:tc>
        <w:tc>
          <w:tcPr>
            <w:tcW w:w="3220" w:type="dxa"/>
            <w:vAlign w:val="center"/>
          </w:tcPr>
          <w:p>
            <w:pPr>
              <w:pStyle w:val="46"/>
              <w:spacing w:before="102"/>
              <w:ind w:left="122" w:right="105"/>
              <w:rPr>
                <w:sz w:val="21"/>
                <w:highlight w:val="none"/>
                <w:lang w:eastAsia="zh-CN"/>
              </w:rPr>
            </w:pPr>
            <w:r>
              <w:rPr>
                <w:rFonts w:hint="eastAsia"/>
                <w:sz w:val="21"/>
                <w:highlight w:val="none"/>
                <w:lang w:eastAsia="zh-CN"/>
              </w:rPr>
              <w:t>宜结合村庄活动中心设置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Align w:val="center"/>
          </w:tcPr>
          <w:p>
            <w:pPr>
              <w:pStyle w:val="46"/>
              <w:spacing w:line="236" w:lineRule="exact"/>
              <w:ind w:left="71"/>
              <w:rPr>
                <w:sz w:val="21"/>
                <w:highlight w:val="none"/>
              </w:rPr>
            </w:pPr>
            <w:r>
              <w:rPr>
                <w:rFonts w:hint="eastAsia"/>
                <w:sz w:val="21"/>
                <w:highlight w:val="none"/>
              </w:rPr>
              <w:t>健康</w:t>
            </w:r>
          </w:p>
          <w:p>
            <w:pPr>
              <w:pStyle w:val="46"/>
              <w:spacing w:line="223" w:lineRule="exact"/>
              <w:ind w:left="71"/>
              <w:rPr>
                <w:sz w:val="21"/>
                <w:highlight w:val="none"/>
              </w:rPr>
            </w:pPr>
            <w:r>
              <w:rPr>
                <w:rFonts w:hint="eastAsia"/>
                <w:sz w:val="21"/>
                <w:highlight w:val="none"/>
              </w:rPr>
              <w:t>管理</w:t>
            </w:r>
          </w:p>
        </w:tc>
        <w:tc>
          <w:tcPr>
            <w:tcW w:w="1439" w:type="dxa"/>
            <w:vAlign w:val="center"/>
          </w:tcPr>
          <w:p>
            <w:pPr>
              <w:pStyle w:val="46"/>
              <w:spacing w:before="101"/>
              <w:ind w:left="58" w:right="44"/>
              <w:rPr>
                <w:sz w:val="21"/>
                <w:highlight w:val="none"/>
              </w:rPr>
            </w:pPr>
            <w:r>
              <w:rPr>
                <w:rFonts w:hint="eastAsia"/>
                <w:sz w:val="21"/>
                <w:highlight w:val="none"/>
              </w:rPr>
              <w:t>村卫生室</w:t>
            </w:r>
          </w:p>
        </w:tc>
        <w:tc>
          <w:tcPr>
            <w:tcW w:w="3235" w:type="dxa"/>
            <w:vAlign w:val="center"/>
          </w:tcPr>
          <w:p>
            <w:pPr>
              <w:pStyle w:val="46"/>
              <w:spacing w:before="101"/>
              <w:ind w:left="51" w:right="36"/>
              <w:rPr>
                <w:sz w:val="21"/>
                <w:highlight w:val="none"/>
              </w:rPr>
            </w:pPr>
            <w:r>
              <w:rPr>
                <w:rFonts w:hint="eastAsia"/>
                <w:sz w:val="21"/>
                <w:highlight w:val="none"/>
              </w:rPr>
              <w:t>医疗、预防、康复等</w:t>
            </w:r>
          </w:p>
        </w:tc>
        <w:tc>
          <w:tcPr>
            <w:tcW w:w="1276" w:type="dxa"/>
            <w:vAlign w:val="center"/>
          </w:tcPr>
          <w:p>
            <w:pPr>
              <w:pStyle w:val="46"/>
              <w:spacing w:line="236" w:lineRule="exact"/>
              <w:ind w:left="60" w:right="45"/>
              <w:rPr>
                <w:sz w:val="21"/>
                <w:highlight w:val="none"/>
              </w:rPr>
            </w:pPr>
            <w:r>
              <w:rPr>
                <w:rFonts w:hint="eastAsia"/>
                <w:sz w:val="21"/>
                <w:highlight w:val="none"/>
              </w:rPr>
              <w:t>100～200</w:t>
            </w:r>
            <w:r>
              <w:rPr>
                <w:rFonts w:hint="eastAsia"/>
                <w:sz w:val="21"/>
                <w:highlight w:val="none"/>
                <w:lang w:eastAsia="zh-CN"/>
              </w:rPr>
              <w:t>（</w:t>
            </w:r>
            <w:r>
              <w:rPr>
                <w:rFonts w:hint="eastAsia"/>
                <w:sz w:val="21"/>
                <w:highlight w:val="none"/>
              </w:rPr>
              <w:t>建筑面积)</w:t>
            </w:r>
          </w:p>
        </w:tc>
        <w:tc>
          <w:tcPr>
            <w:tcW w:w="3220" w:type="dxa"/>
            <w:vAlign w:val="center"/>
          </w:tcPr>
          <w:p>
            <w:pPr>
              <w:pStyle w:val="46"/>
              <w:spacing w:before="101"/>
              <w:ind w:left="122" w:right="107"/>
              <w:rPr>
                <w:sz w:val="21"/>
                <w:highlight w:val="none"/>
                <w:lang w:eastAsia="zh-CN"/>
              </w:rPr>
            </w:pPr>
            <w:r>
              <w:rPr>
                <w:rFonts w:hint="eastAsia"/>
                <w:sz w:val="21"/>
                <w:highlight w:val="none"/>
                <w:lang w:eastAsia="zh-CN"/>
              </w:rPr>
              <w:t>安排在建筑首层并设专用出入口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trPr>
        <w:tc>
          <w:tcPr>
            <w:tcW w:w="564" w:type="dxa"/>
            <w:vMerge w:val="restart"/>
            <w:vAlign w:val="center"/>
          </w:tcPr>
          <w:p>
            <w:pPr>
              <w:pStyle w:val="46"/>
              <w:spacing w:line="213" w:lineRule="auto"/>
              <w:ind w:left="71" w:right="57"/>
              <w:rPr>
                <w:sz w:val="21"/>
                <w:highlight w:val="none"/>
              </w:rPr>
            </w:pPr>
            <w:r>
              <w:rPr>
                <w:rFonts w:hint="eastAsia"/>
                <w:sz w:val="21"/>
                <w:highlight w:val="none"/>
              </w:rPr>
              <w:t>文化活动</w:t>
            </w:r>
          </w:p>
        </w:tc>
        <w:tc>
          <w:tcPr>
            <w:tcW w:w="1439" w:type="dxa"/>
            <w:vAlign w:val="center"/>
          </w:tcPr>
          <w:p>
            <w:pPr>
              <w:pStyle w:val="46"/>
              <w:spacing w:before="102"/>
              <w:ind w:left="58" w:right="44"/>
              <w:rPr>
                <w:sz w:val="21"/>
                <w:highlight w:val="none"/>
              </w:rPr>
            </w:pPr>
            <w:r>
              <w:rPr>
                <w:rFonts w:hint="eastAsia"/>
                <w:sz w:val="21"/>
                <w:highlight w:val="none"/>
              </w:rPr>
              <w:t>文化活动室</w:t>
            </w:r>
          </w:p>
        </w:tc>
        <w:tc>
          <w:tcPr>
            <w:tcW w:w="3235" w:type="dxa"/>
            <w:vAlign w:val="center"/>
          </w:tcPr>
          <w:p>
            <w:pPr>
              <w:pStyle w:val="46"/>
              <w:spacing w:line="237" w:lineRule="exact"/>
              <w:ind w:left="51" w:right="36"/>
              <w:rPr>
                <w:sz w:val="21"/>
                <w:highlight w:val="none"/>
                <w:lang w:eastAsia="zh-CN"/>
              </w:rPr>
            </w:pPr>
            <w:r>
              <w:rPr>
                <w:rFonts w:hint="eastAsia"/>
                <w:sz w:val="21"/>
                <w:highlight w:val="none"/>
                <w:lang w:eastAsia="zh-CN"/>
              </w:rPr>
              <w:t>提供书报阅览、书画、文娱、健</w:t>
            </w:r>
          </w:p>
          <w:p>
            <w:pPr>
              <w:pStyle w:val="46"/>
              <w:spacing w:line="224" w:lineRule="exact"/>
              <w:ind w:left="51" w:right="36"/>
              <w:rPr>
                <w:sz w:val="21"/>
                <w:highlight w:val="none"/>
                <w:lang w:eastAsia="zh-CN"/>
              </w:rPr>
            </w:pPr>
            <w:r>
              <w:rPr>
                <w:rFonts w:hint="eastAsia"/>
                <w:sz w:val="21"/>
                <w:highlight w:val="none"/>
                <w:lang w:eastAsia="zh-CN"/>
              </w:rPr>
              <w:t>身、音乐欣赏、茶座等功能</w:t>
            </w:r>
          </w:p>
        </w:tc>
        <w:tc>
          <w:tcPr>
            <w:tcW w:w="1276" w:type="dxa"/>
            <w:vAlign w:val="center"/>
          </w:tcPr>
          <w:p>
            <w:pPr>
              <w:pStyle w:val="46"/>
              <w:spacing w:line="237" w:lineRule="exact"/>
              <w:ind w:left="60" w:right="45"/>
              <w:rPr>
                <w:sz w:val="21"/>
                <w:highlight w:val="none"/>
              </w:rPr>
            </w:pPr>
            <w:r>
              <w:rPr>
                <w:rFonts w:hint="eastAsia"/>
                <w:sz w:val="21"/>
                <w:highlight w:val="none"/>
              </w:rPr>
              <w:t>200</w:t>
            </w:r>
            <w:r>
              <w:rPr>
                <w:rFonts w:hint="eastAsia"/>
                <w:sz w:val="21"/>
                <w:highlight w:val="none"/>
                <w:lang w:eastAsia="zh-CN"/>
              </w:rPr>
              <w:t>（</w:t>
            </w:r>
            <w:r>
              <w:rPr>
                <w:rFonts w:hint="eastAsia"/>
                <w:sz w:val="21"/>
                <w:highlight w:val="none"/>
              </w:rPr>
              <w:t>建筑面</w:t>
            </w:r>
          </w:p>
          <w:p>
            <w:pPr>
              <w:pStyle w:val="46"/>
              <w:spacing w:line="224" w:lineRule="exact"/>
              <w:ind w:left="58" w:right="45"/>
              <w:rPr>
                <w:sz w:val="21"/>
                <w:highlight w:val="none"/>
              </w:rPr>
            </w:pPr>
            <w:r>
              <w:rPr>
                <w:rFonts w:hint="eastAsia"/>
                <w:sz w:val="21"/>
                <w:highlight w:val="none"/>
              </w:rPr>
              <w:t>积)</w:t>
            </w:r>
          </w:p>
        </w:tc>
        <w:tc>
          <w:tcPr>
            <w:tcW w:w="3220" w:type="dxa"/>
            <w:vAlign w:val="center"/>
          </w:tcPr>
          <w:p>
            <w:pPr>
              <w:pStyle w:val="46"/>
              <w:spacing w:before="102"/>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2" w:lineRule="exact"/>
              <w:ind w:left="58" w:right="44"/>
              <w:rPr>
                <w:sz w:val="21"/>
                <w:highlight w:val="none"/>
              </w:rPr>
            </w:pPr>
            <w:r>
              <w:rPr>
                <w:rFonts w:hint="eastAsia"/>
                <w:sz w:val="21"/>
                <w:highlight w:val="none"/>
              </w:rPr>
              <w:t>农家书屋</w:t>
            </w:r>
          </w:p>
        </w:tc>
        <w:tc>
          <w:tcPr>
            <w:tcW w:w="3235" w:type="dxa"/>
            <w:vAlign w:val="center"/>
          </w:tcPr>
          <w:p>
            <w:pPr>
              <w:pStyle w:val="46"/>
              <w:spacing w:line="222" w:lineRule="exact"/>
              <w:ind w:left="51" w:right="36"/>
              <w:rPr>
                <w:sz w:val="21"/>
                <w:highlight w:val="none"/>
                <w:lang w:eastAsia="zh-CN"/>
              </w:rPr>
            </w:pPr>
            <w:r>
              <w:rPr>
                <w:rFonts w:hint="eastAsia"/>
                <w:sz w:val="21"/>
                <w:highlight w:val="none"/>
                <w:lang w:eastAsia="zh-CN"/>
              </w:rPr>
              <w:t>农民自管自用、自助读书的场所</w:t>
            </w:r>
          </w:p>
        </w:tc>
        <w:tc>
          <w:tcPr>
            <w:tcW w:w="1276" w:type="dxa"/>
            <w:vAlign w:val="center"/>
          </w:tcPr>
          <w:p>
            <w:pPr>
              <w:pStyle w:val="46"/>
              <w:spacing w:line="222" w:lineRule="exact"/>
              <w:ind w:left="15"/>
              <w:rPr>
                <w:sz w:val="21"/>
                <w:highlight w:val="none"/>
              </w:rPr>
            </w:pPr>
            <w:r>
              <w:rPr>
                <w:rFonts w:hint="eastAsia"/>
                <w:sz w:val="21"/>
                <w:highlight w:val="none"/>
              </w:rPr>
              <w:t>—</w:t>
            </w:r>
          </w:p>
        </w:tc>
        <w:tc>
          <w:tcPr>
            <w:tcW w:w="3220" w:type="dxa"/>
            <w:vAlign w:val="center"/>
          </w:tcPr>
          <w:p>
            <w:pPr>
              <w:pStyle w:val="46"/>
              <w:spacing w:line="222"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0" w:lineRule="exact"/>
              <w:ind w:left="58" w:right="44"/>
              <w:rPr>
                <w:sz w:val="21"/>
                <w:highlight w:val="none"/>
              </w:rPr>
            </w:pPr>
            <w:r>
              <w:rPr>
                <w:rFonts w:hint="eastAsia"/>
                <w:sz w:val="21"/>
                <w:highlight w:val="none"/>
              </w:rPr>
              <w:t>红白喜事厅</w:t>
            </w:r>
          </w:p>
        </w:tc>
        <w:tc>
          <w:tcPr>
            <w:tcW w:w="3235" w:type="dxa"/>
            <w:vAlign w:val="center"/>
          </w:tcPr>
          <w:p>
            <w:pPr>
              <w:pStyle w:val="46"/>
              <w:spacing w:line="220" w:lineRule="exact"/>
              <w:ind w:left="54" w:right="36"/>
              <w:rPr>
                <w:sz w:val="21"/>
                <w:highlight w:val="none"/>
              </w:rPr>
            </w:pPr>
            <w:r>
              <w:rPr>
                <w:rFonts w:hint="eastAsia"/>
                <w:sz w:val="21"/>
                <w:highlight w:val="none"/>
              </w:rPr>
              <w:t>操办红白喜事</w:t>
            </w:r>
          </w:p>
        </w:tc>
        <w:tc>
          <w:tcPr>
            <w:tcW w:w="1276" w:type="dxa"/>
            <w:vAlign w:val="center"/>
          </w:tcPr>
          <w:p>
            <w:pPr>
              <w:pStyle w:val="46"/>
              <w:spacing w:line="220" w:lineRule="exact"/>
              <w:ind w:left="15"/>
              <w:rPr>
                <w:sz w:val="21"/>
                <w:highlight w:val="none"/>
              </w:rPr>
            </w:pPr>
            <w:r>
              <w:rPr>
                <w:rFonts w:hint="eastAsia"/>
                <w:sz w:val="21"/>
                <w:highlight w:val="none"/>
              </w:rPr>
              <w:t>—</w:t>
            </w:r>
          </w:p>
        </w:tc>
        <w:tc>
          <w:tcPr>
            <w:tcW w:w="3220" w:type="dxa"/>
            <w:vAlign w:val="center"/>
          </w:tcPr>
          <w:p>
            <w:pPr>
              <w:pStyle w:val="46"/>
              <w:spacing w:line="220" w:lineRule="exact"/>
              <w:ind w:left="122" w:right="105"/>
              <w:rPr>
                <w:sz w:val="21"/>
                <w:highlight w:val="none"/>
                <w:lang w:eastAsia="zh-CN"/>
              </w:rPr>
            </w:pPr>
            <w:r>
              <w:rPr>
                <w:rFonts w:hint="eastAsia"/>
                <w:sz w:val="21"/>
                <w:highlight w:val="none"/>
                <w:lang w:eastAsia="zh-CN"/>
              </w:rPr>
              <w:t>宜结合村庄活动中心设置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spacing w:line="240" w:lineRule="exact"/>
              <w:ind w:left="602" w:right="60" w:hanging="524"/>
              <w:rPr>
                <w:sz w:val="21"/>
                <w:highlight w:val="none"/>
              </w:rPr>
            </w:pPr>
            <w:r>
              <w:rPr>
                <w:rFonts w:hint="eastAsia"/>
                <w:sz w:val="21"/>
                <w:highlight w:val="none"/>
              </w:rPr>
              <w:t>特色民俗活动点</w:t>
            </w:r>
          </w:p>
        </w:tc>
        <w:tc>
          <w:tcPr>
            <w:tcW w:w="3235" w:type="dxa"/>
            <w:vAlign w:val="center"/>
          </w:tcPr>
          <w:p>
            <w:pPr>
              <w:pStyle w:val="46"/>
              <w:spacing w:line="240" w:lineRule="exact"/>
              <w:ind w:left="1525" w:right="36" w:hanging="1470"/>
              <w:rPr>
                <w:sz w:val="21"/>
                <w:highlight w:val="none"/>
                <w:lang w:eastAsia="zh-CN"/>
              </w:rPr>
            </w:pPr>
            <w:r>
              <w:rPr>
                <w:rFonts w:hint="eastAsia"/>
                <w:sz w:val="21"/>
                <w:highlight w:val="none"/>
                <w:lang w:eastAsia="zh-CN"/>
              </w:rPr>
              <w:t>举办各种农民集体活动、民俗活动等</w:t>
            </w:r>
          </w:p>
        </w:tc>
        <w:tc>
          <w:tcPr>
            <w:tcW w:w="1276" w:type="dxa"/>
            <w:vAlign w:val="center"/>
          </w:tcPr>
          <w:p>
            <w:pPr>
              <w:pStyle w:val="46"/>
              <w:spacing w:line="240" w:lineRule="exact"/>
              <w:ind w:left="499" w:right="114" w:hanging="368"/>
              <w:rPr>
                <w:sz w:val="21"/>
                <w:highlight w:val="none"/>
              </w:rPr>
            </w:pPr>
            <w:r>
              <w:rPr>
                <w:rFonts w:hint="eastAsia"/>
                <w:sz w:val="21"/>
                <w:highlight w:val="none"/>
              </w:rPr>
              <w:t>600</w:t>
            </w:r>
            <w:r>
              <w:rPr>
                <w:rFonts w:hint="eastAsia"/>
                <w:sz w:val="21"/>
                <w:highlight w:val="none"/>
                <w:lang w:eastAsia="zh-CN"/>
              </w:rPr>
              <w:t>（</w:t>
            </w:r>
            <w:r>
              <w:rPr>
                <w:rFonts w:hint="eastAsia"/>
                <w:sz w:val="21"/>
                <w:highlight w:val="none"/>
              </w:rPr>
              <w:t>建筑面积)</w:t>
            </w:r>
          </w:p>
        </w:tc>
        <w:tc>
          <w:tcPr>
            <w:tcW w:w="3220" w:type="dxa"/>
            <w:vAlign w:val="center"/>
          </w:tcPr>
          <w:p>
            <w:pPr>
              <w:pStyle w:val="46"/>
              <w:spacing w:before="102"/>
              <w:ind w:left="122" w:right="105"/>
              <w:rPr>
                <w:sz w:val="21"/>
                <w:highlight w:val="none"/>
                <w:lang w:eastAsia="zh-CN"/>
              </w:rPr>
            </w:pPr>
            <w:r>
              <w:rPr>
                <w:rFonts w:hint="eastAsia"/>
                <w:sz w:val="21"/>
                <w:highlight w:val="none"/>
                <w:lang w:eastAsia="zh-CN"/>
              </w:rPr>
              <w:t>宜结合村庄活动中心设置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spacing w:line="219" w:lineRule="exact"/>
              <w:ind w:left="59" w:right="43"/>
              <w:rPr>
                <w:sz w:val="21"/>
                <w:highlight w:val="none"/>
              </w:rPr>
            </w:pPr>
            <w:r>
              <w:rPr>
                <w:rFonts w:hint="eastAsia"/>
                <w:sz w:val="21"/>
                <w:highlight w:val="none"/>
              </w:rPr>
              <w:t>戏台</w:t>
            </w:r>
          </w:p>
        </w:tc>
        <w:tc>
          <w:tcPr>
            <w:tcW w:w="3235" w:type="dxa"/>
            <w:vAlign w:val="center"/>
          </w:tcPr>
          <w:p>
            <w:pPr>
              <w:pStyle w:val="46"/>
              <w:rPr>
                <w:sz w:val="16"/>
                <w:highlight w:val="none"/>
              </w:rPr>
            </w:pPr>
          </w:p>
        </w:tc>
        <w:tc>
          <w:tcPr>
            <w:tcW w:w="1276" w:type="dxa"/>
            <w:vAlign w:val="center"/>
          </w:tcPr>
          <w:p>
            <w:pPr>
              <w:pStyle w:val="46"/>
              <w:spacing w:line="219" w:lineRule="exact"/>
              <w:ind w:left="15"/>
              <w:rPr>
                <w:sz w:val="21"/>
                <w:highlight w:val="none"/>
              </w:rPr>
            </w:pPr>
            <w:r>
              <w:rPr>
                <w:rFonts w:hint="eastAsia"/>
                <w:sz w:val="21"/>
                <w:highlight w:val="none"/>
              </w:rPr>
              <w:t>—</w:t>
            </w:r>
          </w:p>
        </w:tc>
        <w:tc>
          <w:tcPr>
            <w:tcW w:w="3220" w:type="dxa"/>
            <w:vAlign w:val="center"/>
          </w:tcPr>
          <w:p>
            <w:pPr>
              <w:pStyle w:val="46"/>
              <w:spacing w:line="219"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Align w:val="center"/>
          </w:tcPr>
          <w:p>
            <w:pPr>
              <w:pStyle w:val="46"/>
              <w:spacing w:line="240" w:lineRule="exact"/>
              <w:ind w:left="71" w:right="57"/>
              <w:rPr>
                <w:sz w:val="21"/>
                <w:highlight w:val="none"/>
              </w:rPr>
            </w:pPr>
            <w:r>
              <w:rPr>
                <w:rFonts w:hint="eastAsia"/>
                <w:sz w:val="21"/>
                <w:highlight w:val="none"/>
              </w:rPr>
              <w:t>体育健身</w:t>
            </w:r>
          </w:p>
        </w:tc>
        <w:tc>
          <w:tcPr>
            <w:tcW w:w="1439" w:type="dxa"/>
            <w:vAlign w:val="center"/>
          </w:tcPr>
          <w:p>
            <w:pPr>
              <w:pStyle w:val="46"/>
              <w:spacing w:before="102"/>
              <w:ind w:left="58" w:right="44"/>
              <w:rPr>
                <w:sz w:val="21"/>
                <w:highlight w:val="none"/>
              </w:rPr>
            </w:pPr>
            <w:r>
              <w:rPr>
                <w:rFonts w:hint="eastAsia"/>
                <w:sz w:val="21"/>
                <w:highlight w:val="none"/>
              </w:rPr>
              <w:t>健身广场</w:t>
            </w:r>
          </w:p>
        </w:tc>
        <w:tc>
          <w:tcPr>
            <w:tcW w:w="3235" w:type="dxa"/>
            <w:vAlign w:val="center"/>
          </w:tcPr>
          <w:p>
            <w:pPr>
              <w:pStyle w:val="46"/>
              <w:spacing w:line="240" w:lineRule="exact"/>
              <w:ind w:left="896" w:right="36" w:hanging="840"/>
              <w:rPr>
                <w:sz w:val="21"/>
                <w:highlight w:val="none"/>
                <w:lang w:eastAsia="zh-CN"/>
              </w:rPr>
            </w:pPr>
            <w:r>
              <w:rPr>
                <w:rFonts w:hint="eastAsia"/>
                <w:sz w:val="21"/>
                <w:highlight w:val="none"/>
                <w:lang w:eastAsia="zh-CN"/>
              </w:rPr>
              <w:t>篮球、羽毛球、乒乓球、单双杠及其他健身器械等</w:t>
            </w:r>
          </w:p>
        </w:tc>
        <w:tc>
          <w:tcPr>
            <w:tcW w:w="1276" w:type="dxa"/>
            <w:vAlign w:val="center"/>
          </w:tcPr>
          <w:p>
            <w:pPr>
              <w:pStyle w:val="46"/>
              <w:spacing w:line="240" w:lineRule="exact"/>
              <w:ind w:left="499" w:right="114" w:hanging="368"/>
              <w:rPr>
                <w:sz w:val="21"/>
                <w:highlight w:val="none"/>
              </w:rPr>
            </w:pPr>
            <w:r>
              <w:rPr>
                <w:rFonts w:hint="eastAsia"/>
                <w:sz w:val="21"/>
                <w:highlight w:val="none"/>
              </w:rPr>
              <w:t>400</w:t>
            </w:r>
            <w:r>
              <w:rPr>
                <w:rFonts w:hint="eastAsia"/>
                <w:sz w:val="21"/>
                <w:highlight w:val="none"/>
                <w:lang w:eastAsia="zh-CN"/>
              </w:rPr>
              <w:t>（</w:t>
            </w:r>
            <w:r>
              <w:rPr>
                <w:rFonts w:hint="eastAsia"/>
                <w:sz w:val="21"/>
                <w:highlight w:val="none"/>
              </w:rPr>
              <w:t>用地面积)</w:t>
            </w:r>
          </w:p>
        </w:tc>
        <w:tc>
          <w:tcPr>
            <w:tcW w:w="3220" w:type="dxa"/>
            <w:vAlign w:val="center"/>
          </w:tcPr>
          <w:p>
            <w:pPr>
              <w:pStyle w:val="46"/>
              <w:spacing w:before="102"/>
              <w:ind w:left="122" w:right="107"/>
              <w:rPr>
                <w:sz w:val="21"/>
                <w:highlight w:val="none"/>
              </w:rPr>
            </w:pPr>
            <w:r>
              <w:rPr>
                <w:rFonts w:hint="eastAsia"/>
                <w:sz w:val="21"/>
                <w:highlight w:val="none"/>
              </w:rPr>
              <w:t>宜与绿地结合设置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564" w:type="dxa"/>
            <w:vMerge w:val="restart"/>
            <w:vAlign w:val="center"/>
          </w:tcPr>
          <w:p>
            <w:pPr>
              <w:pStyle w:val="46"/>
              <w:spacing w:line="213" w:lineRule="auto"/>
              <w:ind w:left="71" w:right="57"/>
              <w:rPr>
                <w:sz w:val="21"/>
                <w:highlight w:val="none"/>
              </w:rPr>
            </w:pPr>
            <w:r>
              <w:rPr>
                <w:rFonts w:hint="eastAsia"/>
                <w:sz w:val="21"/>
                <w:highlight w:val="none"/>
              </w:rPr>
              <w:t>教育设施</w:t>
            </w:r>
          </w:p>
        </w:tc>
        <w:tc>
          <w:tcPr>
            <w:tcW w:w="1439" w:type="dxa"/>
            <w:vAlign w:val="center"/>
          </w:tcPr>
          <w:p>
            <w:pPr>
              <w:pStyle w:val="46"/>
              <w:ind w:left="58" w:right="44"/>
              <w:rPr>
                <w:sz w:val="21"/>
                <w:highlight w:val="none"/>
              </w:rPr>
            </w:pPr>
            <w:r>
              <w:rPr>
                <w:rFonts w:hint="eastAsia"/>
                <w:sz w:val="21"/>
                <w:highlight w:val="none"/>
              </w:rPr>
              <w:t>村幼儿园</w:t>
            </w:r>
          </w:p>
        </w:tc>
        <w:tc>
          <w:tcPr>
            <w:tcW w:w="3235" w:type="dxa"/>
            <w:vAlign w:val="center"/>
          </w:tcPr>
          <w:p>
            <w:pPr>
              <w:pStyle w:val="46"/>
              <w:ind w:left="38" w:right="20"/>
              <w:rPr>
                <w:sz w:val="21"/>
                <w:highlight w:val="none"/>
                <w:lang w:eastAsia="zh-CN"/>
              </w:rPr>
            </w:pPr>
            <w:r>
              <w:rPr>
                <w:rFonts w:hint="eastAsia"/>
                <w:sz w:val="21"/>
                <w:highlight w:val="none"/>
                <w:lang w:eastAsia="zh-CN"/>
              </w:rPr>
              <w:t>保教3周岁～6周岁的学龄前儿童</w:t>
            </w:r>
          </w:p>
        </w:tc>
        <w:tc>
          <w:tcPr>
            <w:tcW w:w="1276" w:type="dxa"/>
            <w:vAlign w:val="center"/>
          </w:tcPr>
          <w:p>
            <w:pPr>
              <w:pStyle w:val="46"/>
              <w:spacing w:before="4" w:line="213" w:lineRule="auto"/>
              <w:ind w:left="45" w:right="25" w:hanging="3"/>
              <w:rPr>
                <w:sz w:val="21"/>
                <w:highlight w:val="none"/>
                <w:lang w:eastAsia="zh-CN"/>
              </w:rPr>
            </w:pPr>
            <w:r>
              <w:rPr>
                <w:rFonts w:hint="eastAsia"/>
                <w:sz w:val="21"/>
                <w:highlight w:val="none"/>
                <w:lang w:eastAsia="zh-CN"/>
              </w:rPr>
              <w:t>2120（建筑面积)（班级数≥3)</w:t>
            </w:r>
          </w:p>
        </w:tc>
        <w:tc>
          <w:tcPr>
            <w:tcW w:w="3220" w:type="dxa"/>
            <w:vMerge w:val="restart"/>
            <w:vAlign w:val="center"/>
          </w:tcPr>
          <w:p>
            <w:pPr>
              <w:pStyle w:val="46"/>
              <w:spacing w:before="4" w:line="213" w:lineRule="auto"/>
              <w:ind w:left="36" w:right="17" w:hanging="3"/>
              <w:rPr>
                <w:sz w:val="21"/>
                <w:highlight w:val="none"/>
                <w:lang w:eastAsia="zh-CN"/>
              </w:rPr>
            </w:pPr>
            <w:r>
              <w:rPr>
                <w:rFonts w:hint="eastAsia"/>
                <w:sz w:val="21"/>
                <w:highlight w:val="none"/>
                <w:lang w:eastAsia="zh-CN"/>
              </w:rPr>
              <w:t>1.</w:t>
            </w:r>
            <w:r>
              <w:rPr>
                <w:rFonts w:hint="eastAsia"/>
                <w:spacing w:val="-3"/>
                <w:sz w:val="21"/>
                <w:highlight w:val="none"/>
                <w:lang w:eastAsia="zh-CN"/>
              </w:rPr>
              <w:t>应设于阳光充足、接近公共绿</w:t>
            </w:r>
            <w:r>
              <w:rPr>
                <w:rFonts w:hint="eastAsia"/>
                <w:spacing w:val="-4"/>
                <w:sz w:val="21"/>
                <w:highlight w:val="none"/>
                <w:lang w:eastAsia="zh-CN"/>
              </w:rPr>
              <w:t>地、便于家长接送的地段，其生活用房应满足冬至日底层满窗日照不</w:t>
            </w:r>
            <w:r>
              <w:rPr>
                <w:rFonts w:hint="eastAsia"/>
                <w:spacing w:val="-17"/>
                <w:sz w:val="21"/>
                <w:highlight w:val="none"/>
                <w:lang w:eastAsia="zh-CN"/>
              </w:rPr>
              <w:t>少于</w:t>
            </w:r>
            <w:r>
              <w:rPr>
                <w:rFonts w:hint="eastAsia"/>
                <w:sz w:val="21"/>
                <w:highlight w:val="none"/>
                <w:lang w:eastAsia="zh-CN"/>
              </w:rPr>
              <w:t>3h</w:t>
            </w:r>
            <w:r>
              <w:rPr>
                <w:rFonts w:hint="eastAsia"/>
                <w:spacing w:val="-3"/>
                <w:sz w:val="21"/>
                <w:highlight w:val="none"/>
                <w:lang w:eastAsia="zh-CN"/>
              </w:rPr>
              <w:t>的日照标准，宜设置于可遮挡冬季寒风的建筑物背面；</w:t>
            </w:r>
            <w:r>
              <w:rPr>
                <w:rFonts w:hint="eastAsia"/>
                <w:sz w:val="21"/>
                <w:highlight w:val="none"/>
                <w:lang w:eastAsia="zh-CN"/>
              </w:rPr>
              <w:t>2.活</w:t>
            </w:r>
            <w:r>
              <w:rPr>
                <w:rFonts w:hint="eastAsia"/>
                <w:spacing w:val="-8"/>
                <w:sz w:val="21"/>
                <w:highlight w:val="none"/>
                <w:lang w:eastAsia="zh-CN"/>
              </w:rPr>
              <w:t>动场地应有不少于</w:t>
            </w:r>
            <w:r>
              <w:rPr>
                <w:rFonts w:hint="eastAsia"/>
                <w:sz w:val="21"/>
                <w:highlight w:val="none"/>
                <w:lang w:eastAsia="zh-CN"/>
              </w:rPr>
              <w:t>1/2</w:t>
            </w:r>
            <w:r>
              <w:rPr>
                <w:rFonts w:hint="eastAsia"/>
                <w:spacing w:val="-3"/>
                <w:sz w:val="21"/>
                <w:highlight w:val="none"/>
                <w:lang w:eastAsia="zh-CN"/>
              </w:rPr>
              <w:t>的活动面积</w:t>
            </w:r>
          </w:p>
          <w:p>
            <w:pPr>
              <w:pStyle w:val="46"/>
              <w:spacing w:line="218" w:lineRule="exact"/>
              <w:ind w:left="122" w:right="107"/>
              <w:rPr>
                <w:sz w:val="21"/>
                <w:highlight w:val="none"/>
                <w:lang w:eastAsia="zh-CN"/>
              </w:rPr>
            </w:pPr>
            <w:r>
              <w:rPr>
                <w:rFonts w:hint="eastAsia"/>
                <w:sz w:val="21"/>
                <w:highlight w:val="none"/>
                <w:lang w:eastAsia="zh-CN"/>
              </w:rPr>
              <w:t>在标准的建筑日照阴影线之外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spacing w:before="1" w:line="213" w:lineRule="auto"/>
              <w:ind w:left="602" w:right="60" w:hanging="524"/>
              <w:rPr>
                <w:sz w:val="21"/>
                <w:highlight w:val="none"/>
              </w:rPr>
            </w:pPr>
            <w:r>
              <w:rPr>
                <w:rFonts w:hint="eastAsia"/>
                <w:sz w:val="21"/>
                <w:highlight w:val="none"/>
              </w:rPr>
              <w:t>乡村小规模学校</w:t>
            </w:r>
          </w:p>
        </w:tc>
        <w:tc>
          <w:tcPr>
            <w:tcW w:w="3235" w:type="dxa"/>
            <w:vAlign w:val="center"/>
          </w:tcPr>
          <w:p>
            <w:pPr>
              <w:pStyle w:val="46"/>
              <w:spacing w:before="1" w:line="213" w:lineRule="auto"/>
              <w:ind w:left="1317" w:right="36" w:hanging="1261"/>
              <w:rPr>
                <w:sz w:val="21"/>
                <w:highlight w:val="none"/>
                <w:lang w:eastAsia="zh-CN"/>
              </w:rPr>
            </w:pPr>
            <w:r>
              <w:rPr>
                <w:rFonts w:hint="eastAsia"/>
                <w:spacing w:val="-9"/>
                <w:sz w:val="21"/>
                <w:highlight w:val="none"/>
                <w:lang w:eastAsia="zh-CN"/>
              </w:rPr>
              <w:t>学生人数少于</w:t>
            </w:r>
            <w:r>
              <w:rPr>
                <w:rFonts w:hint="eastAsia"/>
                <w:sz w:val="21"/>
                <w:highlight w:val="none"/>
                <w:lang w:eastAsia="zh-CN"/>
              </w:rPr>
              <w:t>200</w:t>
            </w:r>
            <w:r>
              <w:rPr>
                <w:rFonts w:hint="eastAsia"/>
                <w:spacing w:val="-5"/>
                <w:sz w:val="21"/>
                <w:highlight w:val="none"/>
                <w:lang w:eastAsia="zh-CN"/>
              </w:rPr>
              <w:t>人的中小学校和</w:t>
            </w:r>
            <w:r>
              <w:rPr>
                <w:rFonts w:hint="eastAsia"/>
                <w:sz w:val="21"/>
                <w:highlight w:val="none"/>
                <w:lang w:eastAsia="zh-CN"/>
              </w:rPr>
              <w:t>教学点</w:t>
            </w:r>
          </w:p>
        </w:tc>
        <w:tc>
          <w:tcPr>
            <w:tcW w:w="1276" w:type="dxa"/>
            <w:vAlign w:val="center"/>
          </w:tcPr>
          <w:p>
            <w:pPr>
              <w:pStyle w:val="46"/>
              <w:ind w:left="15"/>
              <w:rPr>
                <w:sz w:val="21"/>
                <w:highlight w:val="none"/>
              </w:rPr>
            </w:pPr>
            <w:r>
              <w:rPr>
                <w:rFonts w:hint="eastAsia"/>
                <w:sz w:val="21"/>
                <w:highlight w:val="none"/>
              </w:rPr>
              <w:t>—</w:t>
            </w:r>
          </w:p>
        </w:tc>
        <w:tc>
          <w:tcPr>
            <w:tcW w:w="3220" w:type="dxa"/>
            <w:vMerge w:val="continue"/>
            <w:tcBorders>
              <w:top w:val="nil"/>
            </w:tcBorders>
            <w:vAlign w:val="center"/>
          </w:tcPr>
          <w:p>
            <w:pPr>
              <w:jc w:val="cente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564" w:type="dxa"/>
            <w:vMerge w:val="restart"/>
            <w:vAlign w:val="center"/>
          </w:tcPr>
          <w:p>
            <w:pPr>
              <w:pStyle w:val="46"/>
              <w:spacing w:line="213" w:lineRule="auto"/>
              <w:ind w:left="71" w:right="57"/>
              <w:rPr>
                <w:sz w:val="21"/>
                <w:highlight w:val="none"/>
              </w:rPr>
            </w:pPr>
            <w:r>
              <w:rPr>
                <w:rFonts w:hint="eastAsia"/>
                <w:sz w:val="21"/>
                <w:highlight w:val="none"/>
              </w:rPr>
              <w:t>社会福利设施</w:t>
            </w:r>
          </w:p>
        </w:tc>
        <w:tc>
          <w:tcPr>
            <w:tcW w:w="1439" w:type="dxa"/>
            <w:vAlign w:val="center"/>
          </w:tcPr>
          <w:p>
            <w:pPr>
              <w:pStyle w:val="46"/>
              <w:spacing w:before="104"/>
              <w:ind w:left="58" w:right="44"/>
              <w:rPr>
                <w:sz w:val="21"/>
                <w:highlight w:val="none"/>
              </w:rPr>
            </w:pPr>
            <w:r>
              <w:rPr>
                <w:rFonts w:hint="eastAsia"/>
                <w:sz w:val="21"/>
                <w:highlight w:val="none"/>
              </w:rPr>
              <w:t>老年活动室</w:t>
            </w:r>
          </w:p>
        </w:tc>
        <w:tc>
          <w:tcPr>
            <w:tcW w:w="3235" w:type="dxa"/>
            <w:vAlign w:val="center"/>
          </w:tcPr>
          <w:p>
            <w:pPr>
              <w:pStyle w:val="46"/>
              <w:spacing w:before="104"/>
              <w:ind w:left="53" w:right="36"/>
              <w:rPr>
                <w:sz w:val="21"/>
                <w:highlight w:val="none"/>
                <w:lang w:eastAsia="zh-CN"/>
              </w:rPr>
            </w:pPr>
            <w:r>
              <w:rPr>
                <w:rFonts w:hint="eastAsia"/>
                <w:sz w:val="21"/>
                <w:highlight w:val="none"/>
                <w:lang w:eastAsia="zh-CN"/>
              </w:rPr>
              <w:t>老年人交流、文娱活动等</w:t>
            </w:r>
          </w:p>
        </w:tc>
        <w:tc>
          <w:tcPr>
            <w:tcW w:w="1276" w:type="dxa"/>
            <w:vAlign w:val="center"/>
          </w:tcPr>
          <w:p>
            <w:pPr>
              <w:pStyle w:val="46"/>
              <w:spacing w:before="2" w:line="240" w:lineRule="exact"/>
              <w:ind w:left="499" w:right="114" w:hanging="368"/>
              <w:rPr>
                <w:sz w:val="21"/>
                <w:highlight w:val="none"/>
              </w:rPr>
            </w:pPr>
            <w:r>
              <w:rPr>
                <w:rFonts w:hint="eastAsia"/>
                <w:sz w:val="21"/>
                <w:highlight w:val="none"/>
              </w:rPr>
              <w:t>200</w:t>
            </w:r>
            <w:r>
              <w:rPr>
                <w:rFonts w:hint="eastAsia"/>
                <w:sz w:val="21"/>
                <w:highlight w:val="none"/>
                <w:lang w:eastAsia="zh-CN"/>
              </w:rPr>
              <w:t>（</w:t>
            </w:r>
            <w:r>
              <w:rPr>
                <w:rFonts w:hint="eastAsia"/>
                <w:sz w:val="21"/>
                <w:highlight w:val="none"/>
              </w:rPr>
              <w:t>建筑面积)</w:t>
            </w:r>
          </w:p>
        </w:tc>
        <w:tc>
          <w:tcPr>
            <w:tcW w:w="3220" w:type="dxa"/>
            <w:vAlign w:val="center"/>
          </w:tcPr>
          <w:p>
            <w:pPr>
              <w:pStyle w:val="46"/>
              <w:spacing w:before="104"/>
              <w:ind w:right="107"/>
              <w:rPr>
                <w:sz w:val="21"/>
                <w:highlight w:val="none"/>
                <w:lang w:eastAsia="zh-CN"/>
              </w:rPr>
            </w:pPr>
            <w:r>
              <w:rPr>
                <w:rFonts w:hint="eastAsia"/>
                <w:sz w:val="21"/>
                <w:highlight w:val="none"/>
                <w:lang w:eastAsia="zh-CN"/>
              </w:rPr>
              <w:t>安排在建筑首层并设专用出入口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ind w:left="58" w:right="44"/>
              <w:rPr>
                <w:sz w:val="21"/>
                <w:highlight w:val="none"/>
              </w:rPr>
            </w:pPr>
            <w:r>
              <w:rPr>
                <w:rFonts w:hint="eastAsia"/>
                <w:sz w:val="21"/>
                <w:highlight w:val="none"/>
              </w:rPr>
              <w:t>村级幸福院</w:t>
            </w:r>
          </w:p>
        </w:tc>
        <w:tc>
          <w:tcPr>
            <w:tcW w:w="3235" w:type="dxa"/>
            <w:vAlign w:val="center"/>
          </w:tcPr>
          <w:p>
            <w:pPr>
              <w:pStyle w:val="46"/>
              <w:spacing w:line="240" w:lineRule="exact"/>
              <w:ind w:left="56" w:right="36"/>
              <w:rPr>
                <w:sz w:val="21"/>
                <w:highlight w:val="none"/>
                <w:lang w:eastAsia="zh-CN"/>
              </w:rPr>
            </w:pPr>
            <w:r>
              <w:rPr>
                <w:rFonts w:hint="eastAsia"/>
                <w:sz w:val="21"/>
                <w:highlight w:val="none"/>
                <w:lang w:eastAsia="zh-CN"/>
              </w:rPr>
              <w:t>对自理、介助和介护老年人给予生活起居、餐饮服务、医疗保健、文化娱乐等综合服务</w:t>
            </w:r>
          </w:p>
        </w:tc>
        <w:tc>
          <w:tcPr>
            <w:tcW w:w="1276" w:type="dxa"/>
            <w:vAlign w:val="center"/>
          </w:tcPr>
          <w:p>
            <w:pPr>
              <w:pStyle w:val="46"/>
              <w:ind w:left="15"/>
              <w:rPr>
                <w:sz w:val="21"/>
                <w:highlight w:val="none"/>
              </w:rPr>
            </w:pPr>
            <w:r>
              <w:rPr>
                <w:rFonts w:hint="eastAsia"/>
                <w:sz w:val="21"/>
                <w:highlight w:val="none"/>
              </w:rPr>
              <w:t>—</w:t>
            </w:r>
          </w:p>
        </w:tc>
        <w:tc>
          <w:tcPr>
            <w:tcW w:w="3220" w:type="dxa"/>
            <w:vAlign w:val="center"/>
          </w:tcPr>
          <w:p>
            <w:pPr>
              <w:pStyle w:val="46"/>
              <w:spacing w:before="125" w:line="213" w:lineRule="auto"/>
              <w:ind w:left="166" w:right="149"/>
              <w:rPr>
                <w:sz w:val="21"/>
                <w:highlight w:val="none"/>
                <w:lang w:eastAsia="zh-CN"/>
              </w:rPr>
            </w:pPr>
            <w:r>
              <w:rPr>
                <w:rFonts w:hint="eastAsia"/>
                <w:sz w:val="21"/>
                <w:highlight w:val="none"/>
                <w:lang w:eastAsia="zh-CN"/>
              </w:rPr>
              <w:t>1.设于阳光充足、接近绿地的地段；2.宜结合村庄活动中心设置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spacing w:line="236" w:lineRule="exact"/>
              <w:ind w:left="59" w:right="43"/>
              <w:rPr>
                <w:sz w:val="21"/>
                <w:highlight w:val="none"/>
              </w:rPr>
            </w:pPr>
            <w:r>
              <w:rPr>
                <w:rFonts w:hint="eastAsia"/>
                <w:sz w:val="21"/>
                <w:highlight w:val="none"/>
              </w:rPr>
              <w:t>老年人日间照料中心</w:t>
            </w:r>
          </w:p>
        </w:tc>
        <w:tc>
          <w:tcPr>
            <w:tcW w:w="3235" w:type="dxa"/>
            <w:vAlign w:val="center"/>
          </w:tcPr>
          <w:p>
            <w:pPr>
              <w:pStyle w:val="46"/>
              <w:spacing w:line="236" w:lineRule="exact"/>
              <w:ind w:left="51" w:right="36"/>
              <w:rPr>
                <w:sz w:val="21"/>
                <w:highlight w:val="none"/>
                <w:lang w:eastAsia="zh-CN"/>
              </w:rPr>
            </w:pPr>
            <w:r>
              <w:rPr>
                <w:rFonts w:hint="eastAsia"/>
                <w:sz w:val="21"/>
                <w:highlight w:val="none"/>
                <w:lang w:eastAsia="zh-CN"/>
              </w:rPr>
              <w:t>老年人日托服务，包括餐饮、文娱、健身、医疗保健等</w:t>
            </w:r>
          </w:p>
        </w:tc>
        <w:tc>
          <w:tcPr>
            <w:tcW w:w="1276" w:type="dxa"/>
            <w:vAlign w:val="center"/>
          </w:tcPr>
          <w:p>
            <w:pPr>
              <w:pStyle w:val="46"/>
              <w:spacing w:line="236" w:lineRule="exact"/>
              <w:ind w:left="60" w:right="45"/>
              <w:rPr>
                <w:sz w:val="21"/>
                <w:highlight w:val="none"/>
              </w:rPr>
            </w:pPr>
            <w:r>
              <w:rPr>
                <w:rFonts w:hint="eastAsia"/>
                <w:sz w:val="21"/>
                <w:highlight w:val="none"/>
              </w:rPr>
              <w:t>300</w:t>
            </w:r>
            <w:r>
              <w:rPr>
                <w:rFonts w:hint="eastAsia"/>
                <w:sz w:val="21"/>
                <w:highlight w:val="none"/>
                <w:lang w:eastAsia="zh-CN"/>
              </w:rPr>
              <w:t>（</w:t>
            </w:r>
            <w:r>
              <w:rPr>
                <w:rFonts w:hint="eastAsia"/>
                <w:sz w:val="21"/>
                <w:highlight w:val="none"/>
              </w:rPr>
              <w:t>建筑面积)</w:t>
            </w:r>
          </w:p>
        </w:tc>
        <w:tc>
          <w:tcPr>
            <w:tcW w:w="3220" w:type="dxa"/>
            <w:vAlign w:val="center"/>
          </w:tcPr>
          <w:p>
            <w:pPr>
              <w:pStyle w:val="46"/>
              <w:spacing w:line="236" w:lineRule="exact"/>
              <w:ind w:left="166"/>
              <w:rPr>
                <w:sz w:val="21"/>
                <w:highlight w:val="none"/>
                <w:lang w:eastAsia="zh-CN"/>
              </w:rPr>
            </w:pPr>
            <w:r>
              <w:rPr>
                <w:rFonts w:hint="eastAsia"/>
                <w:sz w:val="21"/>
                <w:highlight w:val="none"/>
                <w:lang w:eastAsia="zh-CN"/>
              </w:rPr>
              <w:t>1.</w:t>
            </w:r>
            <w:r>
              <w:rPr>
                <w:rFonts w:hint="eastAsia"/>
                <w:spacing w:val="-3"/>
                <w:sz w:val="21"/>
                <w:highlight w:val="none"/>
                <w:lang w:eastAsia="zh-CN"/>
              </w:rPr>
              <w:t>安排在建筑首层并设专用出入</w:t>
            </w:r>
            <w:r>
              <w:rPr>
                <w:rFonts w:hint="eastAsia"/>
                <w:spacing w:val="-1"/>
                <w:sz w:val="21"/>
                <w:highlight w:val="none"/>
                <w:lang w:eastAsia="zh-CN"/>
              </w:rPr>
              <w:t>口；2.</w:t>
            </w:r>
            <w:r>
              <w:rPr>
                <w:rFonts w:hint="eastAsia"/>
                <w:spacing w:val="-3"/>
                <w:sz w:val="21"/>
                <w:highlight w:val="none"/>
                <w:lang w:eastAsia="zh-CN"/>
              </w:rPr>
              <w:t>宜结合村庄活动中心设置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Merge w:val="restart"/>
            <w:vAlign w:val="center"/>
          </w:tcPr>
          <w:p>
            <w:pPr>
              <w:pStyle w:val="46"/>
              <w:spacing w:line="213" w:lineRule="auto"/>
              <w:ind w:left="71" w:right="57"/>
              <w:rPr>
                <w:sz w:val="21"/>
                <w:highlight w:val="none"/>
              </w:rPr>
            </w:pPr>
            <w:r>
              <w:rPr>
                <w:rFonts w:hint="eastAsia"/>
                <w:sz w:val="21"/>
                <w:highlight w:val="none"/>
              </w:rPr>
              <w:t>市政公用设施</w:t>
            </w:r>
          </w:p>
        </w:tc>
        <w:tc>
          <w:tcPr>
            <w:tcW w:w="1439" w:type="dxa"/>
            <w:vAlign w:val="center"/>
          </w:tcPr>
          <w:p>
            <w:pPr>
              <w:pStyle w:val="46"/>
              <w:spacing w:before="101"/>
              <w:ind w:left="58" w:right="44"/>
              <w:rPr>
                <w:sz w:val="21"/>
                <w:highlight w:val="none"/>
              </w:rPr>
            </w:pPr>
            <w:r>
              <w:rPr>
                <w:rFonts w:hint="eastAsia"/>
                <w:sz w:val="21"/>
                <w:highlight w:val="none"/>
              </w:rPr>
              <w:t>给水设施</w:t>
            </w:r>
          </w:p>
        </w:tc>
        <w:tc>
          <w:tcPr>
            <w:tcW w:w="3235" w:type="dxa"/>
            <w:vAlign w:val="center"/>
          </w:tcPr>
          <w:p>
            <w:pPr>
              <w:pStyle w:val="46"/>
              <w:spacing w:line="236" w:lineRule="exact"/>
              <w:ind w:left="37" w:right="20"/>
              <w:rPr>
                <w:sz w:val="21"/>
                <w:highlight w:val="none"/>
                <w:lang w:eastAsia="zh-CN"/>
              </w:rPr>
            </w:pPr>
            <w:r>
              <w:rPr>
                <w:rFonts w:hint="eastAsia"/>
                <w:sz w:val="21"/>
                <w:highlight w:val="none"/>
                <w:lang w:eastAsia="zh-CN"/>
              </w:rPr>
              <w:t>包括水源、取水构筑物、调蓄构筑物、泵站等设施</w:t>
            </w:r>
          </w:p>
        </w:tc>
        <w:tc>
          <w:tcPr>
            <w:tcW w:w="1276" w:type="dxa"/>
            <w:vAlign w:val="center"/>
          </w:tcPr>
          <w:p>
            <w:pPr>
              <w:pStyle w:val="46"/>
              <w:spacing w:before="101"/>
              <w:ind w:left="15"/>
              <w:rPr>
                <w:sz w:val="21"/>
                <w:highlight w:val="none"/>
              </w:rPr>
            </w:pPr>
            <w:r>
              <w:rPr>
                <w:rFonts w:hint="eastAsia"/>
                <w:sz w:val="21"/>
                <w:highlight w:val="none"/>
              </w:rPr>
              <w:t>—</w:t>
            </w:r>
          </w:p>
        </w:tc>
        <w:tc>
          <w:tcPr>
            <w:tcW w:w="3220" w:type="dxa"/>
            <w:vAlign w:val="center"/>
          </w:tcPr>
          <w:p>
            <w:pPr>
              <w:pStyle w:val="46"/>
              <w:spacing w:before="101"/>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0" w:lineRule="exact"/>
              <w:ind w:left="57" w:right="44"/>
              <w:rPr>
                <w:sz w:val="21"/>
                <w:highlight w:val="none"/>
              </w:rPr>
            </w:pPr>
            <w:r>
              <w:rPr>
                <w:rFonts w:hint="eastAsia"/>
                <w:sz w:val="21"/>
                <w:highlight w:val="none"/>
              </w:rPr>
              <w:t>污水处理设施</w:t>
            </w:r>
          </w:p>
        </w:tc>
        <w:tc>
          <w:tcPr>
            <w:tcW w:w="3235" w:type="dxa"/>
            <w:vAlign w:val="center"/>
          </w:tcPr>
          <w:p>
            <w:pPr>
              <w:pStyle w:val="46"/>
              <w:spacing w:line="220" w:lineRule="exact"/>
              <w:ind w:left="37" w:right="20"/>
              <w:rPr>
                <w:sz w:val="21"/>
                <w:highlight w:val="none"/>
                <w:lang w:eastAsia="zh-CN"/>
              </w:rPr>
            </w:pPr>
            <w:r>
              <w:rPr>
                <w:rFonts w:hint="eastAsia"/>
                <w:sz w:val="21"/>
                <w:highlight w:val="none"/>
                <w:lang w:eastAsia="zh-CN"/>
              </w:rPr>
              <w:t>对农村生活污水进行处理的构筑物</w:t>
            </w:r>
          </w:p>
        </w:tc>
        <w:tc>
          <w:tcPr>
            <w:tcW w:w="1276" w:type="dxa"/>
            <w:vAlign w:val="center"/>
          </w:tcPr>
          <w:p>
            <w:pPr>
              <w:pStyle w:val="46"/>
              <w:spacing w:line="220" w:lineRule="exact"/>
              <w:ind w:left="15"/>
              <w:rPr>
                <w:sz w:val="21"/>
                <w:highlight w:val="none"/>
              </w:rPr>
            </w:pPr>
            <w:r>
              <w:rPr>
                <w:rFonts w:hint="eastAsia"/>
                <w:sz w:val="21"/>
                <w:highlight w:val="none"/>
              </w:rPr>
              <w:t>—</w:t>
            </w:r>
          </w:p>
        </w:tc>
        <w:tc>
          <w:tcPr>
            <w:tcW w:w="3220" w:type="dxa"/>
            <w:vAlign w:val="center"/>
          </w:tcPr>
          <w:p>
            <w:pPr>
              <w:pStyle w:val="46"/>
              <w:spacing w:line="220"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0" w:lineRule="exact"/>
              <w:ind w:left="55" w:right="44"/>
              <w:rPr>
                <w:sz w:val="21"/>
                <w:highlight w:val="none"/>
              </w:rPr>
            </w:pPr>
            <w:r>
              <w:rPr>
                <w:rFonts w:hint="eastAsia"/>
                <w:sz w:val="21"/>
                <w:highlight w:val="none"/>
              </w:rPr>
              <w:t>供电设施</w:t>
            </w:r>
          </w:p>
        </w:tc>
        <w:tc>
          <w:tcPr>
            <w:tcW w:w="3235" w:type="dxa"/>
            <w:vAlign w:val="center"/>
          </w:tcPr>
          <w:p>
            <w:pPr>
              <w:pStyle w:val="46"/>
              <w:spacing w:line="220" w:lineRule="exact"/>
              <w:ind w:left="13"/>
              <w:rPr>
                <w:sz w:val="21"/>
                <w:highlight w:val="none"/>
              </w:rPr>
            </w:pPr>
            <w:r>
              <w:rPr>
                <w:rFonts w:hint="eastAsia"/>
                <w:sz w:val="21"/>
                <w:highlight w:val="none"/>
              </w:rPr>
              <w:t>—</w:t>
            </w:r>
          </w:p>
        </w:tc>
        <w:tc>
          <w:tcPr>
            <w:tcW w:w="1276" w:type="dxa"/>
            <w:vAlign w:val="center"/>
          </w:tcPr>
          <w:p>
            <w:pPr>
              <w:pStyle w:val="46"/>
              <w:spacing w:line="220" w:lineRule="exact"/>
              <w:ind w:left="15"/>
              <w:rPr>
                <w:sz w:val="21"/>
                <w:highlight w:val="none"/>
              </w:rPr>
            </w:pPr>
            <w:r>
              <w:rPr>
                <w:rFonts w:hint="eastAsia"/>
                <w:sz w:val="21"/>
                <w:highlight w:val="none"/>
              </w:rPr>
              <w:t>—</w:t>
            </w:r>
          </w:p>
        </w:tc>
        <w:tc>
          <w:tcPr>
            <w:tcW w:w="3220" w:type="dxa"/>
            <w:vAlign w:val="center"/>
          </w:tcPr>
          <w:p>
            <w:pPr>
              <w:pStyle w:val="46"/>
              <w:spacing w:line="220"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2" w:lineRule="exact"/>
              <w:ind w:left="58" w:right="44"/>
              <w:rPr>
                <w:sz w:val="21"/>
                <w:highlight w:val="none"/>
              </w:rPr>
            </w:pPr>
            <w:r>
              <w:rPr>
                <w:rFonts w:hint="eastAsia"/>
                <w:sz w:val="21"/>
                <w:highlight w:val="none"/>
              </w:rPr>
              <w:t>电信设施</w:t>
            </w:r>
          </w:p>
        </w:tc>
        <w:tc>
          <w:tcPr>
            <w:tcW w:w="3235" w:type="dxa"/>
            <w:vAlign w:val="center"/>
          </w:tcPr>
          <w:p>
            <w:pPr>
              <w:pStyle w:val="46"/>
              <w:spacing w:line="222" w:lineRule="exact"/>
              <w:ind w:left="13"/>
              <w:rPr>
                <w:sz w:val="21"/>
                <w:highlight w:val="none"/>
              </w:rPr>
            </w:pPr>
            <w:r>
              <w:rPr>
                <w:rFonts w:hint="eastAsia"/>
                <w:sz w:val="21"/>
                <w:highlight w:val="none"/>
              </w:rPr>
              <w:t>—</w:t>
            </w:r>
          </w:p>
        </w:tc>
        <w:tc>
          <w:tcPr>
            <w:tcW w:w="1276" w:type="dxa"/>
            <w:vAlign w:val="center"/>
          </w:tcPr>
          <w:p>
            <w:pPr>
              <w:pStyle w:val="46"/>
              <w:spacing w:line="222" w:lineRule="exact"/>
              <w:ind w:left="15"/>
              <w:rPr>
                <w:sz w:val="21"/>
                <w:highlight w:val="none"/>
              </w:rPr>
            </w:pPr>
            <w:r>
              <w:rPr>
                <w:rFonts w:hint="eastAsia"/>
                <w:sz w:val="21"/>
                <w:highlight w:val="none"/>
              </w:rPr>
              <w:t>—</w:t>
            </w:r>
          </w:p>
        </w:tc>
        <w:tc>
          <w:tcPr>
            <w:tcW w:w="3220" w:type="dxa"/>
            <w:vAlign w:val="center"/>
          </w:tcPr>
          <w:p>
            <w:pPr>
              <w:pStyle w:val="46"/>
              <w:spacing w:line="222"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ind w:left="58" w:right="44"/>
              <w:rPr>
                <w:sz w:val="21"/>
                <w:highlight w:val="none"/>
              </w:rPr>
            </w:pPr>
            <w:r>
              <w:rPr>
                <w:rFonts w:hint="eastAsia"/>
                <w:sz w:val="21"/>
                <w:highlight w:val="none"/>
              </w:rPr>
              <w:t>垃圾收集点</w:t>
            </w:r>
          </w:p>
        </w:tc>
        <w:tc>
          <w:tcPr>
            <w:tcW w:w="3235" w:type="dxa"/>
            <w:vAlign w:val="center"/>
          </w:tcPr>
          <w:p>
            <w:pPr>
              <w:pStyle w:val="46"/>
              <w:spacing w:before="125" w:line="213" w:lineRule="auto"/>
              <w:ind w:left="1211" w:right="36" w:hanging="1155"/>
              <w:rPr>
                <w:sz w:val="21"/>
                <w:highlight w:val="none"/>
                <w:lang w:eastAsia="zh-CN"/>
              </w:rPr>
            </w:pPr>
            <w:r>
              <w:rPr>
                <w:rFonts w:hint="eastAsia"/>
                <w:sz w:val="21"/>
                <w:highlight w:val="none"/>
                <w:lang w:eastAsia="zh-CN"/>
              </w:rPr>
              <w:t>实现垃圾分类化、容器化、密闭化和机械化</w:t>
            </w:r>
          </w:p>
        </w:tc>
        <w:tc>
          <w:tcPr>
            <w:tcW w:w="1276" w:type="dxa"/>
            <w:vAlign w:val="center"/>
          </w:tcPr>
          <w:p>
            <w:pPr>
              <w:pStyle w:val="46"/>
              <w:ind w:left="15"/>
              <w:rPr>
                <w:sz w:val="21"/>
                <w:highlight w:val="none"/>
              </w:rPr>
            </w:pPr>
            <w:r>
              <w:rPr>
                <w:rFonts w:hint="eastAsia"/>
                <w:sz w:val="21"/>
                <w:highlight w:val="none"/>
              </w:rPr>
              <w:t>—</w:t>
            </w:r>
          </w:p>
        </w:tc>
        <w:tc>
          <w:tcPr>
            <w:tcW w:w="3220" w:type="dxa"/>
            <w:vAlign w:val="center"/>
          </w:tcPr>
          <w:p>
            <w:pPr>
              <w:pStyle w:val="46"/>
              <w:spacing w:line="237" w:lineRule="exact"/>
              <w:ind w:left="36"/>
              <w:rPr>
                <w:sz w:val="21"/>
                <w:highlight w:val="none"/>
                <w:lang w:eastAsia="zh-CN"/>
              </w:rPr>
            </w:pPr>
            <w:r>
              <w:rPr>
                <w:rFonts w:hint="eastAsia"/>
                <w:sz w:val="21"/>
                <w:highlight w:val="none"/>
                <w:lang w:eastAsia="zh-CN"/>
              </w:rPr>
              <w:t>宜结合村庄活动中心设置，人、畜</w:t>
            </w:r>
          </w:p>
          <w:p>
            <w:pPr>
              <w:pStyle w:val="46"/>
              <w:spacing w:before="3" w:line="240" w:lineRule="exact"/>
              <w:ind w:left="245" w:right="17" w:hanging="209"/>
              <w:rPr>
                <w:sz w:val="21"/>
                <w:highlight w:val="none"/>
                <w:lang w:eastAsia="zh-CN"/>
              </w:rPr>
            </w:pPr>
            <w:r>
              <w:rPr>
                <w:rFonts w:hint="eastAsia"/>
                <w:sz w:val="21"/>
                <w:highlight w:val="none"/>
                <w:lang w:eastAsia="zh-CN"/>
              </w:rPr>
              <w:t>粪便应在无害化处理后进行农业应用，减少对水体和环境的污染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spacing w:line="220" w:lineRule="exact"/>
              <w:ind w:left="58" w:right="44"/>
              <w:rPr>
                <w:sz w:val="21"/>
                <w:highlight w:val="none"/>
              </w:rPr>
            </w:pPr>
            <w:r>
              <w:rPr>
                <w:rFonts w:hint="eastAsia"/>
                <w:sz w:val="21"/>
                <w:highlight w:val="none"/>
              </w:rPr>
              <w:t>公共厕所</w:t>
            </w:r>
          </w:p>
        </w:tc>
        <w:tc>
          <w:tcPr>
            <w:tcW w:w="3235" w:type="dxa"/>
            <w:vAlign w:val="center"/>
          </w:tcPr>
          <w:p>
            <w:pPr>
              <w:pStyle w:val="46"/>
              <w:spacing w:line="220" w:lineRule="exact"/>
              <w:ind w:left="51" w:right="36"/>
              <w:rPr>
                <w:sz w:val="21"/>
                <w:highlight w:val="none"/>
                <w:lang w:eastAsia="zh-CN"/>
              </w:rPr>
            </w:pPr>
            <w:r>
              <w:rPr>
                <w:rFonts w:hint="eastAsia"/>
                <w:sz w:val="21"/>
                <w:highlight w:val="none"/>
                <w:lang w:eastAsia="zh-CN"/>
              </w:rPr>
              <w:t>农民和流动人口共同使用的厕所</w:t>
            </w:r>
          </w:p>
        </w:tc>
        <w:tc>
          <w:tcPr>
            <w:tcW w:w="1276" w:type="dxa"/>
            <w:vAlign w:val="center"/>
          </w:tcPr>
          <w:p>
            <w:pPr>
              <w:pStyle w:val="46"/>
              <w:spacing w:line="220" w:lineRule="exact"/>
              <w:ind w:left="15"/>
              <w:rPr>
                <w:sz w:val="21"/>
                <w:highlight w:val="none"/>
              </w:rPr>
            </w:pPr>
            <w:r>
              <w:rPr>
                <w:rFonts w:hint="eastAsia"/>
                <w:sz w:val="21"/>
                <w:highlight w:val="none"/>
              </w:rPr>
              <w:t>—</w:t>
            </w:r>
          </w:p>
        </w:tc>
        <w:tc>
          <w:tcPr>
            <w:tcW w:w="3220" w:type="dxa"/>
            <w:vAlign w:val="center"/>
          </w:tcPr>
          <w:p>
            <w:pPr>
              <w:pStyle w:val="46"/>
              <w:spacing w:line="220" w:lineRule="exact"/>
              <w:ind w:left="122" w:right="105"/>
              <w:rPr>
                <w:sz w:val="21"/>
                <w:highlight w:val="none"/>
                <w:lang w:eastAsia="zh-CN"/>
              </w:rPr>
            </w:pPr>
            <w:r>
              <w:rPr>
                <w:rFonts w:hint="eastAsia"/>
                <w:sz w:val="21"/>
                <w:highlight w:val="none"/>
                <w:lang w:eastAsia="zh-CN"/>
              </w:rPr>
              <w:t>不应建在饮用水源上游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564" w:type="dxa"/>
            <w:vMerge w:val="continue"/>
            <w:tcBorders>
              <w:top w:val="nil"/>
            </w:tcBorders>
            <w:vAlign w:val="center"/>
          </w:tcPr>
          <w:p>
            <w:pPr>
              <w:jc w:val="center"/>
              <w:rPr>
                <w:sz w:val="2"/>
                <w:szCs w:val="2"/>
                <w:highlight w:val="none"/>
                <w:lang w:eastAsia="zh-CN"/>
              </w:rPr>
            </w:pPr>
          </w:p>
        </w:tc>
        <w:tc>
          <w:tcPr>
            <w:tcW w:w="1439" w:type="dxa"/>
            <w:vAlign w:val="center"/>
          </w:tcPr>
          <w:p>
            <w:pPr>
              <w:pStyle w:val="46"/>
              <w:ind w:left="58" w:right="44"/>
              <w:rPr>
                <w:sz w:val="21"/>
                <w:highlight w:val="none"/>
              </w:rPr>
            </w:pPr>
            <w:r>
              <w:rPr>
                <w:rFonts w:hint="eastAsia"/>
                <w:sz w:val="21"/>
                <w:highlight w:val="none"/>
              </w:rPr>
              <w:t>消防设施</w:t>
            </w:r>
          </w:p>
        </w:tc>
        <w:tc>
          <w:tcPr>
            <w:tcW w:w="3235" w:type="dxa"/>
            <w:vAlign w:val="center"/>
          </w:tcPr>
          <w:p>
            <w:pPr>
              <w:pStyle w:val="46"/>
              <w:spacing w:line="240" w:lineRule="exact"/>
              <w:ind w:left="56" w:right="36"/>
              <w:rPr>
                <w:sz w:val="21"/>
                <w:highlight w:val="none"/>
                <w:lang w:eastAsia="zh-CN"/>
              </w:rPr>
            </w:pPr>
            <w:r>
              <w:rPr>
                <w:rFonts w:hint="eastAsia"/>
                <w:sz w:val="21"/>
                <w:highlight w:val="none"/>
                <w:lang w:eastAsia="zh-CN"/>
              </w:rPr>
              <w:t>推进消防水源、消防通道、消防装备、电气防火等基础设施建设和安全改造</w:t>
            </w:r>
          </w:p>
        </w:tc>
        <w:tc>
          <w:tcPr>
            <w:tcW w:w="1276" w:type="dxa"/>
            <w:vAlign w:val="center"/>
          </w:tcPr>
          <w:p>
            <w:pPr>
              <w:pStyle w:val="46"/>
              <w:ind w:left="15"/>
              <w:rPr>
                <w:sz w:val="21"/>
                <w:highlight w:val="none"/>
              </w:rPr>
            </w:pPr>
            <w:r>
              <w:rPr>
                <w:rFonts w:hint="eastAsia"/>
                <w:sz w:val="21"/>
                <w:highlight w:val="none"/>
              </w:rPr>
              <w:t>—</w:t>
            </w:r>
          </w:p>
        </w:tc>
        <w:tc>
          <w:tcPr>
            <w:tcW w:w="3220" w:type="dxa"/>
            <w:vAlign w:val="center"/>
          </w:tcPr>
          <w:p>
            <w:pPr>
              <w:pStyle w:val="46"/>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36" w:lineRule="exact"/>
              <w:ind w:left="59" w:right="43"/>
              <w:rPr>
                <w:sz w:val="21"/>
                <w:highlight w:val="none"/>
              </w:rPr>
            </w:pPr>
            <w:r>
              <w:rPr>
                <w:rFonts w:hint="eastAsia"/>
                <w:sz w:val="21"/>
                <w:highlight w:val="none"/>
              </w:rPr>
              <w:t>乡村综合能源站</w:t>
            </w:r>
          </w:p>
        </w:tc>
        <w:tc>
          <w:tcPr>
            <w:tcW w:w="3235" w:type="dxa"/>
            <w:vAlign w:val="center"/>
          </w:tcPr>
          <w:p>
            <w:pPr>
              <w:pStyle w:val="46"/>
              <w:spacing w:line="236" w:lineRule="exact"/>
              <w:ind w:left="37" w:right="20"/>
              <w:rPr>
                <w:sz w:val="21"/>
                <w:highlight w:val="none"/>
                <w:lang w:eastAsia="zh-CN"/>
              </w:rPr>
            </w:pPr>
            <w:r>
              <w:rPr>
                <w:rFonts w:hint="eastAsia"/>
                <w:sz w:val="21"/>
                <w:highlight w:val="none"/>
                <w:lang w:eastAsia="zh-CN"/>
              </w:rPr>
              <w:t>建设电动汽车充换电服务等乡村能源站</w:t>
            </w:r>
          </w:p>
        </w:tc>
        <w:tc>
          <w:tcPr>
            <w:tcW w:w="1276" w:type="dxa"/>
            <w:vAlign w:val="center"/>
          </w:tcPr>
          <w:p>
            <w:pPr>
              <w:pStyle w:val="46"/>
              <w:spacing w:before="101"/>
              <w:ind w:left="15"/>
              <w:rPr>
                <w:sz w:val="21"/>
                <w:highlight w:val="none"/>
              </w:rPr>
            </w:pPr>
            <w:r>
              <w:rPr>
                <w:rFonts w:hint="eastAsia"/>
                <w:sz w:val="21"/>
                <w:highlight w:val="none"/>
              </w:rPr>
              <w:t>—</w:t>
            </w:r>
          </w:p>
        </w:tc>
        <w:tc>
          <w:tcPr>
            <w:tcW w:w="3220" w:type="dxa"/>
            <w:vAlign w:val="center"/>
          </w:tcPr>
          <w:p>
            <w:pPr>
              <w:pStyle w:val="46"/>
              <w:spacing w:before="101"/>
              <w:ind w:left="122" w:right="105"/>
              <w:rPr>
                <w:sz w:val="21"/>
                <w:highlight w:val="none"/>
              </w:rPr>
            </w:pPr>
            <w:r>
              <w:rPr>
                <w:rFonts w:hint="eastAsia"/>
                <w:sz w:val="21"/>
                <w:highlight w:val="none"/>
              </w:rPr>
              <w:t>宜靠近公路布局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0" w:lineRule="exact"/>
              <w:ind w:left="59" w:right="43"/>
              <w:rPr>
                <w:sz w:val="21"/>
                <w:highlight w:val="none"/>
              </w:rPr>
            </w:pPr>
            <w:r>
              <w:rPr>
                <w:rFonts w:hint="eastAsia"/>
                <w:sz w:val="21"/>
                <w:highlight w:val="none"/>
              </w:rPr>
              <w:t>村级客运站点</w:t>
            </w:r>
          </w:p>
        </w:tc>
        <w:tc>
          <w:tcPr>
            <w:tcW w:w="3235" w:type="dxa"/>
            <w:vAlign w:val="center"/>
          </w:tcPr>
          <w:p>
            <w:pPr>
              <w:pStyle w:val="46"/>
              <w:spacing w:line="220" w:lineRule="exact"/>
              <w:ind w:left="13"/>
              <w:rPr>
                <w:sz w:val="21"/>
                <w:highlight w:val="none"/>
              </w:rPr>
            </w:pPr>
            <w:r>
              <w:rPr>
                <w:rFonts w:hint="eastAsia"/>
                <w:sz w:val="21"/>
                <w:highlight w:val="none"/>
              </w:rPr>
              <w:t>—</w:t>
            </w:r>
          </w:p>
        </w:tc>
        <w:tc>
          <w:tcPr>
            <w:tcW w:w="1276" w:type="dxa"/>
            <w:vAlign w:val="center"/>
          </w:tcPr>
          <w:p>
            <w:pPr>
              <w:pStyle w:val="46"/>
              <w:spacing w:line="220" w:lineRule="exact"/>
              <w:ind w:left="15"/>
              <w:rPr>
                <w:sz w:val="21"/>
                <w:highlight w:val="none"/>
              </w:rPr>
            </w:pPr>
            <w:r>
              <w:rPr>
                <w:rFonts w:hint="eastAsia"/>
                <w:sz w:val="21"/>
                <w:highlight w:val="none"/>
              </w:rPr>
              <w:t>—</w:t>
            </w:r>
          </w:p>
        </w:tc>
        <w:tc>
          <w:tcPr>
            <w:tcW w:w="3220" w:type="dxa"/>
            <w:vAlign w:val="center"/>
          </w:tcPr>
          <w:p>
            <w:pPr>
              <w:pStyle w:val="46"/>
              <w:spacing w:line="220"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2" w:lineRule="exact"/>
              <w:ind w:left="58" w:right="44"/>
              <w:rPr>
                <w:sz w:val="21"/>
                <w:highlight w:val="none"/>
              </w:rPr>
            </w:pPr>
            <w:r>
              <w:rPr>
                <w:rFonts w:hint="eastAsia"/>
                <w:sz w:val="21"/>
                <w:highlight w:val="none"/>
              </w:rPr>
              <w:t>公交站点</w:t>
            </w:r>
          </w:p>
        </w:tc>
        <w:tc>
          <w:tcPr>
            <w:tcW w:w="3235" w:type="dxa"/>
            <w:vAlign w:val="center"/>
          </w:tcPr>
          <w:p>
            <w:pPr>
              <w:pStyle w:val="46"/>
              <w:spacing w:line="222" w:lineRule="exact"/>
              <w:ind w:left="13"/>
              <w:rPr>
                <w:sz w:val="21"/>
                <w:highlight w:val="none"/>
              </w:rPr>
            </w:pPr>
            <w:r>
              <w:rPr>
                <w:rFonts w:hint="eastAsia"/>
                <w:sz w:val="21"/>
                <w:highlight w:val="none"/>
              </w:rPr>
              <w:t>—</w:t>
            </w:r>
          </w:p>
        </w:tc>
        <w:tc>
          <w:tcPr>
            <w:tcW w:w="1276" w:type="dxa"/>
            <w:vAlign w:val="center"/>
          </w:tcPr>
          <w:p>
            <w:pPr>
              <w:pStyle w:val="46"/>
              <w:spacing w:line="222" w:lineRule="exact"/>
              <w:ind w:left="15"/>
              <w:rPr>
                <w:sz w:val="21"/>
                <w:highlight w:val="none"/>
              </w:rPr>
            </w:pPr>
            <w:r>
              <w:rPr>
                <w:rFonts w:hint="eastAsia"/>
                <w:sz w:val="21"/>
                <w:highlight w:val="none"/>
              </w:rPr>
              <w:t>—</w:t>
            </w:r>
          </w:p>
        </w:tc>
        <w:tc>
          <w:tcPr>
            <w:tcW w:w="3220" w:type="dxa"/>
            <w:vAlign w:val="center"/>
          </w:tcPr>
          <w:p>
            <w:pPr>
              <w:pStyle w:val="46"/>
              <w:spacing w:line="222" w:lineRule="exact"/>
              <w:ind w:left="12"/>
              <w:rPr>
                <w:sz w:val="21"/>
                <w:highlight w:val="none"/>
              </w:rPr>
            </w:pPr>
            <w:r>
              <w:rPr>
                <w:rFonts w:hint="eastAsia"/>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9" w:hRule="atLeast"/>
        </w:trPr>
        <w:tc>
          <w:tcPr>
            <w:tcW w:w="564" w:type="dxa"/>
            <w:vMerge w:val="continue"/>
            <w:tcBorders>
              <w:top w:val="nil"/>
            </w:tcBorders>
            <w:vAlign w:val="center"/>
          </w:tcPr>
          <w:p>
            <w:pPr>
              <w:jc w:val="center"/>
              <w:rPr>
                <w:sz w:val="2"/>
                <w:szCs w:val="2"/>
                <w:highlight w:val="none"/>
              </w:rPr>
            </w:pPr>
          </w:p>
        </w:tc>
        <w:tc>
          <w:tcPr>
            <w:tcW w:w="1439" w:type="dxa"/>
            <w:vAlign w:val="center"/>
          </w:tcPr>
          <w:p>
            <w:pPr>
              <w:pStyle w:val="46"/>
              <w:spacing w:line="220" w:lineRule="exact"/>
              <w:ind w:left="58" w:right="44"/>
              <w:rPr>
                <w:sz w:val="21"/>
                <w:highlight w:val="none"/>
              </w:rPr>
            </w:pPr>
            <w:r>
              <w:rPr>
                <w:rFonts w:hint="eastAsia"/>
                <w:sz w:val="21"/>
                <w:highlight w:val="none"/>
              </w:rPr>
              <w:t>物流配送点</w:t>
            </w:r>
          </w:p>
        </w:tc>
        <w:tc>
          <w:tcPr>
            <w:tcW w:w="3235" w:type="dxa"/>
            <w:vAlign w:val="center"/>
          </w:tcPr>
          <w:p>
            <w:pPr>
              <w:pStyle w:val="46"/>
              <w:spacing w:line="220" w:lineRule="exact"/>
              <w:ind w:left="51" w:right="36"/>
              <w:rPr>
                <w:sz w:val="21"/>
                <w:highlight w:val="none"/>
                <w:lang w:eastAsia="zh-CN"/>
              </w:rPr>
            </w:pPr>
            <w:r>
              <w:rPr>
                <w:rFonts w:hint="eastAsia"/>
                <w:sz w:val="21"/>
                <w:highlight w:val="none"/>
                <w:lang w:eastAsia="zh-CN"/>
              </w:rPr>
              <w:t>电商直播和农产品物流收发</w:t>
            </w:r>
          </w:p>
        </w:tc>
        <w:tc>
          <w:tcPr>
            <w:tcW w:w="1276" w:type="dxa"/>
            <w:vAlign w:val="center"/>
          </w:tcPr>
          <w:p>
            <w:pPr>
              <w:pStyle w:val="46"/>
              <w:spacing w:line="220" w:lineRule="exact"/>
              <w:ind w:left="15"/>
              <w:rPr>
                <w:sz w:val="21"/>
                <w:highlight w:val="none"/>
              </w:rPr>
            </w:pPr>
            <w:r>
              <w:rPr>
                <w:rFonts w:hint="eastAsia"/>
                <w:sz w:val="21"/>
                <w:highlight w:val="none"/>
              </w:rPr>
              <w:t>—</w:t>
            </w:r>
          </w:p>
        </w:tc>
        <w:tc>
          <w:tcPr>
            <w:tcW w:w="3220" w:type="dxa"/>
            <w:vAlign w:val="center"/>
          </w:tcPr>
          <w:p>
            <w:pPr>
              <w:pStyle w:val="46"/>
              <w:spacing w:line="220" w:lineRule="exact"/>
              <w:ind w:left="122" w:right="105"/>
              <w:rPr>
                <w:sz w:val="21"/>
                <w:highlight w:val="none"/>
              </w:rPr>
            </w:pPr>
            <w:r>
              <w:rPr>
                <w:rFonts w:hint="eastAsia"/>
                <w:sz w:val="21"/>
                <w:highlight w:val="none"/>
              </w:rPr>
              <w:t>宜在村口设置</w:t>
            </w:r>
          </w:p>
        </w:tc>
      </w:tr>
    </w:tbl>
    <w:p>
      <w:pPr>
        <w:pStyle w:val="12"/>
        <w:spacing w:before="5" w:after="1"/>
        <w:ind w:left="0"/>
        <w:rPr>
          <w:rFonts w:ascii="微软雅黑"/>
          <w:b/>
          <w:sz w:val="6"/>
          <w:highlight w:val="none"/>
          <w:lang w:eastAsia="zh-CN"/>
        </w:rPr>
      </w:pPr>
    </w:p>
    <w:p>
      <w:pPr>
        <w:pStyle w:val="12"/>
        <w:spacing w:before="5" w:after="1"/>
        <w:ind w:left="0"/>
        <w:rPr>
          <w:rFonts w:ascii="微软雅黑"/>
          <w:b/>
          <w:sz w:val="6"/>
          <w:highlight w:val="none"/>
          <w:lang w:eastAsia="zh-CN"/>
        </w:rPr>
      </w:pPr>
    </w:p>
    <w:p>
      <w:pPr>
        <w:pStyle w:val="12"/>
        <w:spacing w:before="5" w:after="1"/>
        <w:ind w:left="0"/>
        <w:rPr>
          <w:rFonts w:ascii="微软雅黑"/>
          <w:b/>
          <w:sz w:val="6"/>
          <w:highlight w:val="none"/>
          <w:lang w:eastAsia="zh-CN"/>
        </w:rPr>
      </w:pPr>
    </w:p>
    <w:p>
      <w:pPr>
        <w:spacing w:line="220" w:lineRule="exact"/>
        <w:rPr>
          <w:sz w:val="21"/>
          <w:highlight w:val="none"/>
        </w:rPr>
        <w:sectPr>
          <w:pgSz w:w="11910" w:h="16840"/>
          <w:pgMar w:top="1580" w:right="680" w:bottom="880" w:left="980" w:header="850" w:footer="992" w:gutter="0"/>
          <w:cols w:space="720" w:num="1"/>
        </w:sectPr>
      </w:pPr>
    </w:p>
    <w:p>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bookmarkStart w:id="53" w:name="_bookmark39"/>
      <w:bookmarkEnd w:id="53"/>
      <w:r>
        <w:rPr>
          <w:rFonts w:ascii="微软雅黑" w:hAnsi="微软雅黑" w:eastAsia="微软雅黑" w:cs="微软雅黑"/>
          <w:b/>
          <w:bCs/>
          <w:color w:val="auto"/>
          <w:sz w:val="30"/>
          <w:szCs w:val="30"/>
          <w:highlight w:val="none"/>
          <w:lang w:eastAsia="zh-CN"/>
        </w:rPr>
        <w:t>附表六</w:t>
      </w:r>
      <w:r>
        <w:rPr>
          <w:rFonts w:hint="eastAsia" w:ascii="微软雅黑" w:hAnsi="微软雅黑" w:eastAsia="微软雅黑" w:cs="微软雅黑"/>
          <w:b/>
          <w:bCs/>
          <w:color w:val="auto"/>
          <w:sz w:val="30"/>
          <w:szCs w:val="30"/>
          <w:highlight w:val="none"/>
          <w:lang w:eastAsia="zh-CN"/>
        </w:rPr>
        <w:t xml:space="preserve"> 鱼峰区</w:t>
      </w:r>
      <w:r>
        <w:rPr>
          <w:rFonts w:ascii="微软雅黑" w:hAnsi="微软雅黑" w:eastAsia="微软雅黑" w:cs="微软雅黑"/>
          <w:b/>
          <w:bCs/>
          <w:color w:val="auto"/>
          <w:sz w:val="30"/>
          <w:szCs w:val="30"/>
          <w:highlight w:val="none"/>
          <w:lang w:eastAsia="zh-CN"/>
        </w:rPr>
        <w:t>乡村建筑设计指引表</w:t>
      </w:r>
    </w:p>
    <w:tbl>
      <w:tblPr>
        <w:tblStyle w:val="44"/>
        <w:tblW w:w="97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932"/>
        <w:gridCol w:w="8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278" w:type="dxa"/>
            <w:gridSpan w:val="2"/>
            <w:vAlign w:val="center"/>
          </w:tcPr>
          <w:p>
            <w:pPr>
              <w:pStyle w:val="46"/>
              <w:spacing w:line="277" w:lineRule="exact"/>
              <w:ind w:firstLine="422" w:firstLineChars="200"/>
              <w:jc w:val="both"/>
              <w:rPr>
                <w:b/>
                <w:sz w:val="21"/>
                <w:szCs w:val="21"/>
                <w:highlight w:val="none"/>
              </w:rPr>
            </w:pPr>
            <w:r>
              <w:rPr>
                <w:rFonts w:hint="eastAsia"/>
                <w:b/>
                <w:sz w:val="21"/>
                <w:szCs w:val="21"/>
                <w:highlight w:val="none"/>
              </w:rPr>
              <w:t>要素</w:t>
            </w:r>
          </w:p>
        </w:tc>
        <w:tc>
          <w:tcPr>
            <w:tcW w:w="8460" w:type="dxa"/>
            <w:vAlign w:val="center"/>
          </w:tcPr>
          <w:p>
            <w:pPr>
              <w:pStyle w:val="46"/>
              <w:spacing w:line="277" w:lineRule="exact"/>
              <w:ind w:right="3856" w:firstLine="3373" w:firstLineChars="1600"/>
              <w:jc w:val="both"/>
              <w:rPr>
                <w:b/>
                <w:sz w:val="21"/>
                <w:szCs w:val="21"/>
                <w:highlight w:val="none"/>
              </w:rPr>
            </w:pPr>
            <w:r>
              <w:rPr>
                <w:rFonts w:hint="eastAsia"/>
                <w:b/>
                <w:sz w:val="21"/>
                <w:szCs w:val="21"/>
                <w:highlight w:val="none"/>
              </w:rPr>
              <w:t>设计指引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jc w:val="center"/>
        </w:trPr>
        <w:tc>
          <w:tcPr>
            <w:tcW w:w="1278" w:type="dxa"/>
            <w:gridSpan w:val="2"/>
            <w:vAlign w:val="center"/>
          </w:tcPr>
          <w:p>
            <w:pPr>
              <w:pStyle w:val="46"/>
              <w:spacing w:before="130"/>
              <w:jc w:val="center"/>
              <w:rPr>
                <w:sz w:val="21"/>
                <w:szCs w:val="21"/>
                <w:highlight w:val="none"/>
              </w:rPr>
            </w:pPr>
            <w:r>
              <w:rPr>
                <w:rFonts w:hint="eastAsia"/>
                <w:sz w:val="21"/>
                <w:szCs w:val="21"/>
                <w:highlight w:val="none"/>
              </w:rPr>
              <w:t>建筑层高</w:t>
            </w:r>
          </w:p>
        </w:tc>
        <w:tc>
          <w:tcPr>
            <w:tcW w:w="8460" w:type="dxa"/>
            <w:vAlign w:val="center"/>
          </w:tcPr>
          <w:p>
            <w:pPr>
              <w:pStyle w:val="46"/>
              <w:spacing w:before="33" w:line="213" w:lineRule="auto"/>
              <w:ind w:left="26" w:right="3525"/>
              <w:jc w:val="both"/>
              <w:rPr>
                <w:sz w:val="21"/>
                <w:szCs w:val="21"/>
                <w:highlight w:val="none"/>
                <w:lang w:eastAsia="zh-CN"/>
              </w:rPr>
            </w:pPr>
            <w:r>
              <w:rPr>
                <w:rFonts w:hint="eastAsia"/>
                <w:sz w:val="21"/>
                <w:szCs w:val="21"/>
                <w:highlight w:val="none"/>
                <w:lang w:eastAsia="zh-CN"/>
              </w:rPr>
              <w:t>农房层高宜在2.8-3.3米之间，底层层高可适当增加；公共建筑、工业及仓储建筑层高宜根据建筑要求设计。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77" w:hRule="atLeast"/>
          <w:jc w:val="center"/>
        </w:trPr>
        <w:tc>
          <w:tcPr>
            <w:tcW w:w="346" w:type="dxa"/>
            <w:vMerge w:val="restart"/>
            <w:vAlign w:val="center"/>
          </w:tcPr>
          <w:p>
            <w:pPr>
              <w:pStyle w:val="46"/>
              <w:spacing w:line="213" w:lineRule="auto"/>
              <w:ind w:left="67" w:right="55"/>
              <w:jc w:val="center"/>
              <w:rPr>
                <w:sz w:val="21"/>
                <w:szCs w:val="21"/>
                <w:highlight w:val="none"/>
              </w:rPr>
            </w:pPr>
            <w:r>
              <w:rPr>
                <w:rFonts w:hint="eastAsia"/>
                <w:sz w:val="21"/>
                <w:szCs w:val="21"/>
                <w:highlight w:val="none"/>
              </w:rPr>
              <w:t>屋面</w:t>
            </w:r>
          </w:p>
        </w:tc>
        <w:tc>
          <w:tcPr>
            <w:tcW w:w="932" w:type="dxa"/>
            <w:vAlign w:val="center"/>
          </w:tcPr>
          <w:p>
            <w:pPr>
              <w:pStyle w:val="46"/>
              <w:spacing w:before="153" w:line="213" w:lineRule="auto"/>
              <w:ind w:right="62"/>
              <w:jc w:val="center"/>
              <w:rPr>
                <w:sz w:val="21"/>
                <w:szCs w:val="21"/>
                <w:highlight w:val="none"/>
              </w:rPr>
            </w:pPr>
            <w:r>
              <w:rPr>
                <w:rFonts w:hint="eastAsia"/>
                <w:sz w:val="21"/>
                <w:szCs w:val="21"/>
                <w:highlight w:val="none"/>
              </w:rPr>
              <w:t>屋顶形式</w:t>
            </w:r>
          </w:p>
        </w:tc>
        <w:tc>
          <w:tcPr>
            <w:tcW w:w="8460" w:type="dxa"/>
            <w:vAlign w:val="center"/>
          </w:tcPr>
          <w:p>
            <w:pPr>
              <w:pStyle w:val="46"/>
              <w:spacing w:before="10" w:line="255" w:lineRule="exact"/>
              <w:ind w:left="26"/>
              <w:jc w:val="both"/>
              <w:rPr>
                <w:sz w:val="21"/>
                <w:szCs w:val="21"/>
                <w:highlight w:val="none"/>
                <w:lang w:eastAsia="zh-CN"/>
              </w:rPr>
            </w:pPr>
            <w:r>
              <w:rPr>
                <w:rFonts w:hint="eastAsia"/>
                <w:sz w:val="21"/>
                <w:szCs w:val="21"/>
                <w:highlight w:val="none"/>
                <w:lang w:eastAsia="zh-CN"/>
              </w:rPr>
              <w:t>宜采用双坡屋顶形式。坡度：建议30-40度为宜。挑檐：出挑长度需与坡屋顶实际面积相适宜。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before="130"/>
              <w:jc w:val="center"/>
              <w:rPr>
                <w:sz w:val="21"/>
                <w:szCs w:val="21"/>
                <w:highlight w:val="none"/>
              </w:rPr>
            </w:pPr>
            <w:r>
              <w:rPr>
                <w:rFonts w:hint="eastAsia"/>
                <w:sz w:val="21"/>
                <w:szCs w:val="21"/>
                <w:highlight w:val="none"/>
              </w:rPr>
              <w:t>屋面</w:t>
            </w:r>
          </w:p>
        </w:tc>
        <w:tc>
          <w:tcPr>
            <w:tcW w:w="8460" w:type="dxa"/>
            <w:vAlign w:val="center"/>
          </w:tcPr>
          <w:p>
            <w:pPr>
              <w:pStyle w:val="46"/>
              <w:spacing w:before="33" w:line="213" w:lineRule="auto"/>
              <w:ind w:left="26" w:right="162"/>
              <w:jc w:val="both"/>
              <w:rPr>
                <w:sz w:val="21"/>
                <w:szCs w:val="21"/>
                <w:highlight w:val="none"/>
                <w:lang w:eastAsia="zh-CN"/>
              </w:rPr>
            </w:pPr>
            <w:r>
              <w:rPr>
                <w:rFonts w:hint="eastAsia"/>
                <w:sz w:val="21"/>
                <w:szCs w:val="21"/>
                <w:highlight w:val="none"/>
                <w:lang w:eastAsia="zh-CN"/>
              </w:rPr>
              <w:t>屋面瓦：以深色为主，可选用深灰色和蓝灰色，材料可选用青瓦、琉璃瓦等。飘檐、女儿墙和山墙的颜色、材料宜与屋面瓦保持一致。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7"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before="1"/>
              <w:jc w:val="center"/>
              <w:rPr>
                <w:sz w:val="21"/>
                <w:szCs w:val="21"/>
                <w:highlight w:val="none"/>
              </w:rPr>
            </w:pPr>
            <w:r>
              <w:rPr>
                <w:rFonts w:hint="eastAsia"/>
                <w:sz w:val="21"/>
                <w:szCs w:val="21"/>
                <w:highlight w:val="none"/>
              </w:rPr>
              <w:t>屋脊</w:t>
            </w:r>
          </w:p>
        </w:tc>
        <w:tc>
          <w:tcPr>
            <w:tcW w:w="8460" w:type="dxa"/>
            <w:vAlign w:val="center"/>
          </w:tcPr>
          <w:p>
            <w:pPr>
              <w:pStyle w:val="46"/>
              <w:spacing w:before="10" w:line="255" w:lineRule="exact"/>
              <w:ind w:left="26"/>
              <w:jc w:val="both"/>
              <w:rPr>
                <w:sz w:val="21"/>
                <w:szCs w:val="21"/>
                <w:highlight w:val="none"/>
                <w:lang w:eastAsia="zh-CN"/>
              </w:rPr>
            </w:pPr>
            <w:r>
              <w:rPr>
                <w:rFonts w:hint="eastAsia"/>
                <w:sz w:val="21"/>
                <w:szCs w:val="21"/>
                <w:highlight w:val="none"/>
                <w:lang w:eastAsia="zh-CN"/>
              </w:rPr>
              <w:t>色彩：注重与屋面进行搭配。</w:t>
            </w:r>
          </w:p>
          <w:p>
            <w:pPr>
              <w:pStyle w:val="46"/>
              <w:spacing w:before="9" w:line="213" w:lineRule="auto"/>
              <w:ind w:left="26" w:right="3945"/>
              <w:jc w:val="both"/>
              <w:rPr>
                <w:sz w:val="21"/>
                <w:szCs w:val="21"/>
                <w:highlight w:val="none"/>
                <w:lang w:eastAsia="zh-CN"/>
              </w:rPr>
            </w:pPr>
            <w:r>
              <w:rPr>
                <w:rFonts w:hint="eastAsia"/>
                <w:sz w:val="21"/>
                <w:szCs w:val="21"/>
                <w:highlight w:val="none"/>
                <w:lang w:eastAsia="zh-CN"/>
              </w:rPr>
              <w:t>深色屋脊：与屋面同色，可选用深灰色和蓝灰色。浅色屋脊：与屋面不同色，可选用米白色、白色。做法：可选用屋脊压瓦成品或以灰砂砌筑。</w:t>
            </w:r>
          </w:p>
          <w:p>
            <w:pPr>
              <w:pStyle w:val="46"/>
              <w:spacing w:before="2" w:line="213" w:lineRule="auto"/>
              <w:ind w:left="26" w:right="162"/>
              <w:jc w:val="both"/>
              <w:rPr>
                <w:sz w:val="21"/>
                <w:szCs w:val="21"/>
                <w:highlight w:val="none"/>
                <w:lang w:eastAsia="zh-CN"/>
              </w:rPr>
            </w:pPr>
            <w:r>
              <w:rPr>
                <w:rFonts w:hint="eastAsia"/>
                <w:sz w:val="21"/>
                <w:szCs w:val="21"/>
                <w:highlight w:val="none"/>
                <w:lang w:eastAsia="zh-CN"/>
              </w:rPr>
              <w:t>屋角：壮族、仫佬族聚居区及民族特色较浓厚的地区建议在农房正脊两侧安装翘脊，屋檐四角安装翘角，可在鱼龙吻、动物、花草等形制的基础上进行简化后应用。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4" w:hRule="atLeast"/>
          <w:jc w:val="center"/>
        </w:trPr>
        <w:tc>
          <w:tcPr>
            <w:tcW w:w="346" w:type="dxa"/>
            <w:vMerge w:val="restart"/>
            <w:vAlign w:val="center"/>
          </w:tcPr>
          <w:p>
            <w:pPr>
              <w:pStyle w:val="46"/>
              <w:spacing w:before="1" w:line="213" w:lineRule="auto"/>
              <w:ind w:left="67" w:right="55"/>
              <w:jc w:val="center"/>
              <w:rPr>
                <w:sz w:val="21"/>
                <w:szCs w:val="21"/>
                <w:highlight w:val="none"/>
              </w:rPr>
            </w:pPr>
            <w:r>
              <w:rPr>
                <w:rFonts w:hint="eastAsia"/>
                <w:sz w:val="21"/>
                <w:szCs w:val="21"/>
                <w:highlight w:val="none"/>
              </w:rPr>
              <w:t>墙体</w:t>
            </w:r>
          </w:p>
        </w:tc>
        <w:tc>
          <w:tcPr>
            <w:tcW w:w="932" w:type="dxa"/>
            <w:vAlign w:val="center"/>
          </w:tcPr>
          <w:p>
            <w:pPr>
              <w:pStyle w:val="46"/>
              <w:spacing w:line="213" w:lineRule="auto"/>
              <w:ind w:right="62"/>
              <w:jc w:val="center"/>
              <w:rPr>
                <w:sz w:val="21"/>
                <w:szCs w:val="21"/>
                <w:highlight w:val="none"/>
              </w:rPr>
            </w:pPr>
            <w:r>
              <w:rPr>
                <w:rFonts w:hint="eastAsia"/>
                <w:sz w:val="21"/>
                <w:szCs w:val="21"/>
                <w:highlight w:val="none"/>
              </w:rPr>
              <w:t>色彩分类</w:t>
            </w:r>
          </w:p>
        </w:tc>
        <w:tc>
          <w:tcPr>
            <w:tcW w:w="8460" w:type="dxa"/>
            <w:vAlign w:val="center"/>
          </w:tcPr>
          <w:p>
            <w:pPr>
              <w:pStyle w:val="46"/>
              <w:spacing w:before="33" w:line="213" w:lineRule="auto"/>
              <w:ind w:left="26" w:right="162"/>
              <w:jc w:val="both"/>
              <w:rPr>
                <w:sz w:val="21"/>
                <w:szCs w:val="21"/>
                <w:highlight w:val="none"/>
                <w:lang w:eastAsia="zh-CN"/>
              </w:rPr>
            </w:pPr>
            <w:r>
              <w:rPr>
                <w:rFonts w:hint="eastAsia"/>
                <w:sz w:val="21"/>
                <w:szCs w:val="21"/>
                <w:highlight w:val="none"/>
                <w:lang w:eastAsia="zh-CN"/>
              </w:rPr>
              <w:t>分为白色、灰色两大色系，建筑墙面色彩由主色（墙面颜色）、辅色（墙裙）、点缀色（装饰线、图案）组成。</w:t>
            </w:r>
          </w:p>
          <w:p>
            <w:pPr>
              <w:pStyle w:val="46"/>
              <w:spacing w:before="1" w:line="213" w:lineRule="auto"/>
              <w:ind w:left="26" w:right="162"/>
              <w:jc w:val="both"/>
              <w:rPr>
                <w:sz w:val="21"/>
                <w:szCs w:val="21"/>
                <w:highlight w:val="none"/>
                <w:lang w:eastAsia="zh-CN"/>
              </w:rPr>
            </w:pPr>
            <w:r>
              <w:rPr>
                <w:rFonts w:hint="eastAsia"/>
                <w:sz w:val="21"/>
                <w:szCs w:val="21"/>
                <w:highlight w:val="none"/>
                <w:lang w:eastAsia="zh-CN"/>
              </w:rPr>
              <w:t>白色系：主色选用白色，可用偏黄或偏灰的白，辅助色用灰色，点缀色可用深灰色、木色、棕色等。</w:t>
            </w:r>
          </w:p>
          <w:p>
            <w:pPr>
              <w:pStyle w:val="46"/>
              <w:spacing w:before="2" w:line="213" w:lineRule="auto"/>
              <w:ind w:left="26" w:right="162"/>
              <w:jc w:val="both"/>
              <w:rPr>
                <w:sz w:val="21"/>
                <w:szCs w:val="21"/>
                <w:highlight w:val="none"/>
                <w:lang w:eastAsia="zh-CN"/>
              </w:rPr>
            </w:pPr>
            <w:r>
              <w:rPr>
                <w:rFonts w:hint="eastAsia"/>
                <w:sz w:val="21"/>
                <w:szCs w:val="21"/>
                <w:highlight w:val="none"/>
                <w:lang w:eastAsia="zh-CN"/>
              </w:rPr>
              <w:t>灰色系：主色选用灰色，分为深灰、中灰、浅灰，可搭配使用体现层次感。辅助色用白色，点缀色可用木色、棕色、深灰色等。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before="33" w:line="213" w:lineRule="auto"/>
              <w:ind w:right="62"/>
              <w:jc w:val="center"/>
              <w:rPr>
                <w:sz w:val="21"/>
                <w:szCs w:val="21"/>
                <w:highlight w:val="none"/>
              </w:rPr>
            </w:pPr>
            <w:r>
              <w:rPr>
                <w:rFonts w:hint="eastAsia"/>
                <w:sz w:val="21"/>
                <w:szCs w:val="21"/>
                <w:highlight w:val="none"/>
              </w:rPr>
              <w:t>色彩选择</w:t>
            </w:r>
          </w:p>
        </w:tc>
        <w:tc>
          <w:tcPr>
            <w:tcW w:w="8460" w:type="dxa"/>
            <w:vAlign w:val="center"/>
          </w:tcPr>
          <w:p>
            <w:pPr>
              <w:pStyle w:val="46"/>
              <w:spacing w:before="33" w:line="213" w:lineRule="auto"/>
              <w:ind w:left="26" w:right="101"/>
              <w:jc w:val="both"/>
              <w:rPr>
                <w:sz w:val="21"/>
                <w:szCs w:val="21"/>
                <w:highlight w:val="none"/>
                <w:lang w:eastAsia="zh-CN"/>
              </w:rPr>
            </w:pPr>
            <w:r>
              <w:rPr>
                <w:rFonts w:hint="eastAsia"/>
                <w:sz w:val="21"/>
                <w:szCs w:val="21"/>
                <w:highlight w:val="none"/>
                <w:lang w:eastAsia="zh-CN"/>
              </w:rPr>
              <w:t>可通过使用材质本色来体现建筑色彩，单栋建筑墙面颜色不宜超过4种，色彩搭配应美观、大方、协调、主次分明。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before="33" w:line="213" w:lineRule="auto"/>
              <w:ind w:right="62"/>
              <w:jc w:val="center"/>
              <w:rPr>
                <w:sz w:val="21"/>
                <w:szCs w:val="21"/>
                <w:highlight w:val="none"/>
              </w:rPr>
            </w:pPr>
            <w:r>
              <w:rPr>
                <w:rFonts w:hint="eastAsia"/>
                <w:sz w:val="21"/>
                <w:szCs w:val="21"/>
                <w:highlight w:val="none"/>
              </w:rPr>
              <w:t>避免做法</w:t>
            </w:r>
          </w:p>
        </w:tc>
        <w:tc>
          <w:tcPr>
            <w:tcW w:w="8460" w:type="dxa"/>
            <w:vAlign w:val="center"/>
          </w:tcPr>
          <w:p>
            <w:pPr>
              <w:pStyle w:val="46"/>
              <w:spacing w:before="130"/>
              <w:ind w:left="26"/>
              <w:jc w:val="both"/>
              <w:rPr>
                <w:sz w:val="21"/>
                <w:szCs w:val="21"/>
                <w:highlight w:val="none"/>
                <w:lang w:eastAsia="zh-CN"/>
              </w:rPr>
            </w:pPr>
            <w:r>
              <w:rPr>
                <w:rFonts w:hint="eastAsia"/>
                <w:sz w:val="21"/>
                <w:szCs w:val="21"/>
                <w:highlight w:val="none"/>
                <w:lang w:eastAsia="zh-CN"/>
              </w:rPr>
              <w:t>不宜采用大面积高纯度、高亮度的颜色；避免采用裸露水泥外墙面的做法。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7" w:hRule="atLeast"/>
          <w:jc w:val="center"/>
        </w:trPr>
        <w:tc>
          <w:tcPr>
            <w:tcW w:w="1278" w:type="dxa"/>
            <w:gridSpan w:val="2"/>
            <w:vAlign w:val="center"/>
          </w:tcPr>
          <w:p>
            <w:pPr>
              <w:pStyle w:val="46"/>
              <w:jc w:val="center"/>
              <w:rPr>
                <w:sz w:val="21"/>
                <w:szCs w:val="21"/>
                <w:highlight w:val="none"/>
              </w:rPr>
            </w:pPr>
            <w:r>
              <w:rPr>
                <w:rFonts w:hint="eastAsia"/>
                <w:sz w:val="21"/>
                <w:szCs w:val="21"/>
                <w:highlight w:val="none"/>
              </w:rPr>
              <w:t>窗框</w:t>
            </w:r>
          </w:p>
        </w:tc>
        <w:tc>
          <w:tcPr>
            <w:tcW w:w="8460" w:type="dxa"/>
            <w:vAlign w:val="center"/>
          </w:tcPr>
          <w:p>
            <w:pPr>
              <w:pStyle w:val="46"/>
              <w:spacing w:before="34" w:line="213" w:lineRule="auto"/>
              <w:ind w:left="26" w:right="162"/>
              <w:jc w:val="both"/>
              <w:rPr>
                <w:sz w:val="21"/>
                <w:szCs w:val="21"/>
                <w:highlight w:val="none"/>
                <w:lang w:eastAsia="zh-CN"/>
              </w:rPr>
            </w:pPr>
            <w:r>
              <w:rPr>
                <w:rFonts w:hint="eastAsia"/>
                <w:spacing w:val="-3"/>
                <w:sz w:val="21"/>
                <w:szCs w:val="21"/>
                <w:highlight w:val="none"/>
                <w:lang w:eastAsia="zh-CN"/>
              </w:rPr>
              <w:t>形式：外墙窗洞外侧或内侧增加金属窗框，以丰富窗户形态，增加立体感，窗框形式简约朴</w:t>
            </w:r>
            <w:r>
              <w:rPr>
                <w:rFonts w:hint="eastAsia"/>
                <w:spacing w:val="-4"/>
                <w:sz w:val="21"/>
                <w:szCs w:val="21"/>
                <w:highlight w:val="none"/>
                <w:lang w:eastAsia="zh-CN"/>
              </w:rPr>
              <w:t>素，对角或四角可增加简单镂空装饰，装饰宜简单大方，不宜过于复杂，宽度宜</w:t>
            </w:r>
            <w:r>
              <w:rPr>
                <w:rFonts w:hint="eastAsia"/>
                <w:sz w:val="21"/>
                <w:szCs w:val="21"/>
                <w:highlight w:val="none"/>
                <w:lang w:eastAsia="zh-CN"/>
              </w:rPr>
              <w:t>100</w:t>
            </w:r>
            <w:r>
              <w:rPr>
                <w:rFonts w:hint="eastAsia"/>
                <w:spacing w:val="-2"/>
                <w:sz w:val="21"/>
                <w:szCs w:val="21"/>
                <w:highlight w:val="none"/>
                <w:lang w:eastAsia="zh-CN"/>
              </w:rPr>
              <w:t>毫米。</w:t>
            </w:r>
            <w:r>
              <w:rPr>
                <w:rFonts w:hint="eastAsia"/>
                <w:spacing w:val="-3"/>
                <w:sz w:val="21"/>
                <w:szCs w:val="21"/>
                <w:highlight w:val="none"/>
                <w:lang w:eastAsia="zh-CN"/>
              </w:rPr>
              <w:t>色彩：窗框颜色与墙面应形成对比。</w:t>
            </w:r>
          </w:p>
          <w:p>
            <w:pPr>
              <w:pStyle w:val="46"/>
              <w:spacing w:line="245" w:lineRule="exact"/>
              <w:ind w:left="26"/>
              <w:jc w:val="both"/>
              <w:rPr>
                <w:sz w:val="21"/>
                <w:szCs w:val="21"/>
                <w:highlight w:val="none"/>
                <w:lang w:eastAsia="zh-CN"/>
              </w:rPr>
            </w:pPr>
            <w:r>
              <w:rPr>
                <w:rFonts w:hint="eastAsia"/>
                <w:spacing w:val="-3"/>
                <w:sz w:val="21"/>
                <w:szCs w:val="21"/>
                <w:highlight w:val="none"/>
                <w:lang w:eastAsia="zh-CN"/>
              </w:rPr>
              <w:t>材料：可选用铝合金、塑钢材质等。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4" w:hRule="atLeast"/>
          <w:jc w:val="center"/>
        </w:trPr>
        <w:tc>
          <w:tcPr>
            <w:tcW w:w="346" w:type="dxa"/>
            <w:vMerge w:val="restart"/>
            <w:vAlign w:val="center"/>
          </w:tcPr>
          <w:p>
            <w:pPr>
              <w:pStyle w:val="46"/>
              <w:spacing w:line="213" w:lineRule="auto"/>
              <w:ind w:left="67" w:right="55"/>
              <w:jc w:val="center"/>
              <w:rPr>
                <w:sz w:val="21"/>
                <w:szCs w:val="21"/>
                <w:highlight w:val="none"/>
              </w:rPr>
            </w:pPr>
            <w:r>
              <w:rPr>
                <w:rFonts w:hint="eastAsia"/>
                <w:sz w:val="21"/>
                <w:szCs w:val="21"/>
                <w:highlight w:val="none"/>
              </w:rPr>
              <w:t>栏杆</w:t>
            </w:r>
          </w:p>
        </w:tc>
        <w:tc>
          <w:tcPr>
            <w:tcW w:w="932" w:type="dxa"/>
            <w:vAlign w:val="center"/>
          </w:tcPr>
          <w:p>
            <w:pPr>
              <w:pStyle w:val="46"/>
              <w:spacing w:line="213" w:lineRule="auto"/>
              <w:ind w:right="62"/>
              <w:jc w:val="center"/>
              <w:rPr>
                <w:sz w:val="21"/>
                <w:szCs w:val="21"/>
                <w:highlight w:val="none"/>
              </w:rPr>
            </w:pPr>
            <w:r>
              <w:rPr>
                <w:rFonts w:hint="eastAsia"/>
                <w:sz w:val="21"/>
                <w:szCs w:val="21"/>
                <w:highlight w:val="none"/>
              </w:rPr>
              <w:t>金属栏杆</w:t>
            </w:r>
          </w:p>
        </w:tc>
        <w:tc>
          <w:tcPr>
            <w:tcW w:w="8460" w:type="dxa"/>
            <w:vAlign w:val="center"/>
          </w:tcPr>
          <w:p>
            <w:pPr>
              <w:pStyle w:val="46"/>
              <w:spacing w:before="10" w:line="255" w:lineRule="exact"/>
              <w:ind w:left="26"/>
              <w:jc w:val="both"/>
              <w:rPr>
                <w:sz w:val="21"/>
                <w:szCs w:val="21"/>
                <w:highlight w:val="none"/>
                <w:lang w:eastAsia="zh-CN"/>
              </w:rPr>
            </w:pPr>
            <w:r>
              <w:rPr>
                <w:rFonts w:hint="eastAsia"/>
                <w:sz w:val="21"/>
                <w:szCs w:val="21"/>
                <w:highlight w:val="none"/>
                <w:lang w:eastAsia="zh-CN"/>
              </w:rPr>
              <w:t>形式：栏杆高度在1.1米以上，以保证安全，栏杆柱间距应小于0.11米，栏杆离楼面或屋面</w:t>
            </w:r>
          </w:p>
          <w:p>
            <w:pPr>
              <w:pStyle w:val="46"/>
              <w:spacing w:before="9" w:line="213" w:lineRule="auto"/>
              <w:ind w:left="26" w:right="59"/>
              <w:jc w:val="both"/>
              <w:rPr>
                <w:sz w:val="21"/>
                <w:szCs w:val="21"/>
                <w:highlight w:val="none"/>
                <w:lang w:eastAsia="zh-CN"/>
              </w:rPr>
            </w:pPr>
            <w:r>
              <w:rPr>
                <w:rFonts w:hint="eastAsia"/>
                <w:sz w:val="21"/>
                <w:szCs w:val="21"/>
                <w:highlight w:val="none"/>
                <w:lang w:eastAsia="zh-CN"/>
              </w:rPr>
              <w:t>0.1米高度内不宜留空。栏杆扶手及柱子宽度不可过于粗犷，形式应简约朴素，应体现南方地区的灵动轻巧风格。</w:t>
            </w:r>
          </w:p>
          <w:p>
            <w:pPr>
              <w:pStyle w:val="46"/>
              <w:spacing w:line="233" w:lineRule="exact"/>
              <w:ind w:left="26"/>
              <w:jc w:val="both"/>
              <w:rPr>
                <w:sz w:val="21"/>
                <w:szCs w:val="21"/>
                <w:highlight w:val="none"/>
                <w:lang w:eastAsia="zh-CN"/>
              </w:rPr>
            </w:pPr>
            <w:r>
              <w:rPr>
                <w:rFonts w:hint="eastAsia"/>
                <w:sz w:val="21"/>
                <w:szCs w:val="21"/>
                <w:highlight w:val="none"/>
                <w:lang w:eastAsia="zh-CN"/>
              </w:rPr>
              <w:t>色彩：应与墙面形成对比，宜与窗框同色系。</w:t>
            </w:r>
          </w:p>
          <w:p>
            <w:pPr>
              <w:pStyle w:val="46"/>
              <w:spacing w:line="250" w:lineRule="exact"/>
              <w:ind w:left="26"/>
              <w:jc w:val="both"/>
              <w:rPr>
                <w:sz w:val="21"/>
                <w:szCs w:val="21"/>
                <w:highlight w:val="none"/>
                <w:lang w:eastAsia="zh-CN"/>
              </w:rPr>
            </w:pPr>
            <w:r>
              <w:rPr>
                <w:rFonts w:hint="eastAsia"/>
                <w:sz w:val="21"/>
                <w:szCs w:val="21"/>
                <w:highlight w:val="none"/>
                <w:lang w:eastAsia="zh-CN"/>
              </w:rPr>
              <w:t>材料：可选用铝合金、塑钢等，不宜选用原色调（银色）的铝合金。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before="33" w:line="213" w:lineRule="auto"/>
              <w:ind w:right="62"/>
              <w:jc w:val="center"/>
              <w:rPr>
                <w:sz w:val="21"/>
                <w:szCs w:val="21"/>
                <w:highlight w:val="none"/>
              </w:rPr>
            </w:pPr>
            <w:r>
              <w:rPr>
                <w:rFonts w:hint="eastAsia"/>
                <w:sz w:val="21"/>
                <w:szCs w:val="21"/>
                <w:highlight w:val="none"/>
              </w:rPr>
              <w:t>混凝土栏杆</w:t>
            </w:r>
          </w:p>
        </w:tc>
        <w:tc>
          <w:tcPr>
            <w:tcW w:w="8460" w:type="dxa"/>
            <w:vAlign w:val="center"/>
          </w:tcPr>
          <w:p>
            <w:pPr>
              <w:pStyle w:val="46"/>
              <w:spacing w:before="33" w:line="213" w:lineRule="auto"/>
              <w:ind w:left="26" w:right="479"/>
              <w:jc w:val="both"/>
              <w:rPr>
                <w:sz w:val="21"/>
                <w:szCs w:val="21"/>
                <w:highlight w:val="none"/>
                <w:lang w:eastAsia="zh-CN"/>
              </w:rPr>
            </w:pPr>
            <w:r>
              <w:rPr>
                <w:rFonts w:hint="eastAsia"/>
                <w:spacing w:val="-8"/>
                <w:sz w:val="21"/>
                <w:szCs w:val="21"/>
                <w:highlight w:val="none"/>
                <w:lang w:eastAsia="zh-CN"/>
              </w:rPr>
              <w:t>形式：栏杆高度在</w:t>
            </w:r>
            <w:r>
              <w:rPr>
                <w:rFonts w:hint="eastAsia"/>
                <w:sz w:val="21"/>
                <w:szCs w:val="21"/>
                <w:highlight w:val="none"/>
                <w:lang w:eastAsia="zh-CN"/>
              </w:rPr>
              <w:t>1.1</w:t>
            </w:r>
            <w:r>
              <w:rPr>
                <w:rFonts w:hint="eastAsia"/>
                <w:spacing w:val="-6"/>
                <w:sz w:val="21"/>
                <w:szCs w:val="21"/>
                <w:highlight w:val="none"/>
                <w:lang w:eastAsia="zh-CN"/>
              </w:rPr>
              <w:t>米以上，以保证安全，栏杆离楼面或屋面</w:t>
            </w:r>
            <w:r>
              <w:rPr>
                <w:rFonts w:hint="eastAsia"/>
                <w:sz w:val="21"/>
                <w:szCs w:val="21"/>
                <w:highlight w:val="none"/>
                <w:lang w:eastAsia="zh-CN"/>
              </w:rPr>
              <w:t>0.1</w:t>
            </w:r>
            <w:r>
              <w:rPr>
                <w:rFonts w:hint="eastAsia"/>
                <w:spacing w:val="-3"/>
                <w:sz w:val="21"/>
                <w:szCs w:val="21"/>
                <w:highlight w:val="none"/>
                <w:lang w:eastAsia="zh-CN"/>
              </w:rPr>
              <w:t>米高度内不宜留空。色彩：宜与墙面同色系。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5"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line="213" w:lineRule="auto"/>
              <w:ind w:right="62"/>
              <w:jc w:val="center"/>
              <w:rPr>
                <w:sz w:val="21"/>
                <w:szCs w:val="21"/>
                <w:highlight w:val="none"/>
              </w:rPr>
            </w:pPr>
            <w:r>
              <w:rPr>
                <w:rFonts w:hint="eastAsia"/>
                <w:sz w:val="21"/>
                <w:szCs w:val="21"/>
                <w:highlight w:val="none"/>
              </w:rPr>
              <w:t>组合栏杆</w:t>
            </w:r>
          </w:p>
        </w:tc>
        <w:tc>
          <w:tcPr>
            <w:tcW w:w="8460" w:type="dxa"/>
            <w:vAlign w:val="center"/>
          </w:tcPr>
          <w:p>
            <w:pPr>
              <w:pStyle w:val="46"/>
              <w:spacing w:before="10" w:line="255" w:lineRule="exact"/>
              <w:ind w:left="26"/>
              <w:jc w:val="both"/>
              <w:rPr>
                <w:sz w:val="21"/>
                <w:szCs w:val="21"/>
                <w:highlight w:val="none"/>
                <w:lang w:eastAsia="zh-CN"/>
              </w:rPr>
            </w:pPr>
            <w:r>
              <w:rPr>
                <w:rFonts w:hint="eastAsia"/>
                <w:sz w:val="21"/>
                <w:szCs w:val="21"/>
                <w:highlight w:val="none"/>
                <w:lang w:eastAsia="zh-CN"/>
              </w:rPr>
              <w:t>形式：金属栏杆、瓦片与砖砌体（裸墙或刷漆）等多种材料组合而成。栏杆高度在1.1米以上，以保证安全，栏杆离楼面或屋面0.1米高度内不宜留空。形式应简约朴素，应体现南方地区的灵动轻巧风格。</w:t>
            </w:r>
          </w:p>
          <w:p>
            <w:pPr>
              <w:pStyle w:val="46"/>
              <w:spacing w:line="233" w:lineRule="exact"/>
              <w:ind w:left="26"/>
              <w:jc w:val="both"/>
              <w:rPr>
                <w:sz w:val="21"/>
                <w:szCs w:val="21"/>
                <w:highlight w:val="none"/>
                <w:lang w:eastAsia="zh-CN"/>
              </w:rPr>
            </w:pPr>
            <w:r>
              <w:rPr>
                <w:rFonts w:hint="eastAsia"/>
                <w:sz w:val="21"/>
                <w:szCs w:val="21"/>
                <w:highlight w:val="none"/>
                <w:lang w:eastAsia="zh-CN"/>
              </w:rPr>
              <w:t>色彩：与墙面应形成对比，建议与窗框同色系。</w:t>
            </w:r>
          </w:p>
          <w:p>
            <w:pPr>
              <w:pStyle w:val="46"/>
              <w:spacing w:line="250" w:lineRule="exact"/>
              <w:ind w:left="26"/>
              <w:jc w:val="both"/>
              <w:rPr>
                <w:sz w:val="21"/>
                <w:szCs w:val="21"/>
                <w:highlight w:val="none"/>
                <w:lang w:eastAsia="zh-CN"/>
              </w:rPr>
            </w:pPr>
            <w:r>
              <w:rPr>
                <w:rFonts w:hint="eastAsia"/>
                <w:sz w:val="21"/>
                <w:szCs w:val="21"/>
                <w:highlight w:val="none"/>
                <w:lang w:eastAsia="zh-CN"/>
              </w:rPr>
              <w:t>材料：可选用铝合金、混凝土等。不宜选用原色调（银色）的铝合金。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jc w:val="center"/>
        </w:trPr>
        <w:tc>
          <w:tcPr>
            <w:tcW w:w="346" w:type="dxa"/>
            <w:vMerge w:val="restart"/>
            <w:vAlign w:val="center"/>
          </w:tcPr>
          <w:p>
            <w:pPr>
              <w:pStyle w:val="46"/>
              <w:spacing w:before="67" w:line="213" w:lineRule="auto"/>
              <w:ind w:left="67" w:right="55"/>
              <w:jc w:val="center"/>
              <w:rPr>
                <w:sz w:val="21"/>
                <w:szCs w:val="21"/>
                <w:highlight w:val="none"/>
              </w:rPr>
            </w:pPr>
            <w:r>
              <w:rPr>
                <w:rFonts w:hint="eastAsia"/>
                <w:sz w:val="21"/>
                <w:szCs w:val="21"/>
                <w:highlight w:val="none"/>
              </w:rPr>
              <w:t>图案装饰</w:t>
            </w:r>
          </w:p>
        </w:tc>
        <w:tc>
          <w:tcPr>
            <w:tcW w:w="932" w:type="dxa"/>
            <w:vAlign w:val="center"/>
          </w:tcPr>
          <w:p>
            <w:pPr>
              <w:pStyle w:val="46"/>
              <w:spacing w:before="33" w:line="213" w:lineRule="auto"/>
              <w:ind w:right="62"/>
              <w:jc w:val="center"/>
              <w:rPr>
                <w:sz w:val="21"/>
                <w:szCs w:val="21"/>
                <w:highlight w:val="none"/>
              </w:rPr>
            </w:pPr>
            <w:r>
              <w:rPr>
                <w:rFonts w:hint="eastAsia"/>
                <w:sz w:val="21"/>
                <w:szCs w:val="21"/>
                <w:highlight w:val="none"/>
              </w:rPr>
              <w:t>建筑山花装饰</w:t>
            </w:r>
          </w:p>
        </w:tc>
        <w:tc>
          <w:tcPr>
            <w:tcW w:w="8460" w:type="dxa"/>
            <w:vAlign w:val="center"/>
          </w:tcPr>
          <w:p>
            <w:pPr>
              <w:pStyle w:val="46"/>
              <w:spacing w:before="10" w:line="255" w:lineRule="exact"/>
              <w:ind w:left="26"/>
              <w:jc w:val="both"/>
              <w:rPr>
                <w:sz w:val="21"/>
                <w:szCs w:val="21"/>
                <w:highlight w:val="none"/>
                <w:lang w:eastAsia="zh-CN"/>
              </w:rPr>
            </w:pPr>
            <w:r>
              <w:rPr>
                <w:rFonts w:hint="eastAsia"/>
                <w:sz w:val="21"/>
                <w:szCs w:val="21"/>
                <w:highlight w:val="none"/>
                <w:lang w:eastAsia="zh-CN"/>
              </w:rPr>
              <w:t>形式：应用于建筑山墙处，采用墙绘或立体构件的形式。</w:t>
            </w:r>
          </w:p>
          <w:p>
            <w:pPr>
              <w:pStyle w:val="46"/>
              <w:spacing w:line="252" w:lineRule="exact"/>
              <w:ind w:left="26"/>
              <w:jc w:val="both"/>
              <w:rPr>
                <w:sz w:val="21"/>
                <w:szCs w:val="21"/>
                <w:highlight w:val="none"/>
                <w:lang w:eastAsia="zh-CN"/>
              </w:rPr>
            </w:pPr>
            <w:r>
              <w:rPr>
                <w:rFonts w:hint="eastAsia"/>
                <w:sz w:val="21"/>
                <w:szCs w:val="21"/>
                <w:highlight w:val="none"/>
                <w:lang w:eastAsia="zh-CN"/>
              </w:rPr>
              <w:t>色彩与材料：色彩与墙面应形成对比，材料可选用涂料、真石漆等。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jc w:val="center"/>
        </w:trPr>
        <w:tc>
          <w:tcPr>
            <w:tcW w:w="346" w:type="dxa"/>
            <w:vMerge w:val="continue"/>
            <w:tcBorders>
              <w:top w:val="nil"/>
            </w:tcBorders>
            <w:vAlign w:val="center"/>
          </w:tcPr>
          <w:p>
            <w:pPr>
              <w:jc w:val="center"/>
              <w:rPr>
                <w:sz w:val="21"/>
                <w:szCs w:val="21"/>
                <w:highlight w:val="none"/>
                <w:lang w:eastAsia="zh-CN"/>
              </w:rPr>
            </w:pPr>
          </w:p>
        </w:tc>
        <w:tc>
          <w:tcPr>
            <w:tcW w:w="932" w:type="dxa"/>
            <w:vAlign w:val="center"/>
          </w:tcPr>
          <w:p>
            <w:pPr>
              <w:pStyle w:val="46"/>
              <w:spacing w:before="33" w:line="213" w:lineRule="auto"/>
              <w:ind w:right="62"/>
              <w:jc w:val="center"/>
              <w:rPr>
                <w:sz w:val="21"/>
                <w:szCs w:val="21"/>
                <w:highlight w:val="none"/>
              </w:rPr>
            </w:pPr>
            <w:r>
              <w:rPr>
                <w:rFonts w:hint="eastAsia"/>
                <w:sz w:val="21"/>
                <w:szCs w:val="21"/>
                <w:highlight w:val="none"/>
              </w:rPr>
              <w:t>建筑腰线装饰</w:t>
            </w:r>
          </w:p>
        </w:tc>
        <w:tc>
          <w:tcPr>
            <w:tcW w:w="8460" w:type="dxa"/>
            <w:vAlign w:val="center"/>
          </w:tcPr>
          <w:p>
            <w:pPr>
              <w:pStyle w:val="46"/>
              <w:spacing w:before="10" w:line="255" w:lineRule="exact"/>
              <w:ind w:left="26"/>
              <w:jc w:val="both"/>
              <w:rPr>
                <w:sz w:val="21"/>
                <w:szCs w:val="21"/>
                <w:highlight w:val="none"/>
                <w:lang w:eastAsia="zh-CN"/>
              </w:rPr>
            </w:pPr>
            <w:r>
              <w:rPr>
                <w:rFonts w:hint="eastAsia"/>
                <w:sz w:val="21"/>
                <w:szCs w:val="21"/>
                <w:highlight w:val="none"/>
                <w:lang w:eastAsia="zh-CN"/>
              </w:rPr>
              <w:t>形式：应用于建筑分层处形成建筑腰线，采用墙绘的形式。</w:t>
            </w:r>
          </w:p>
          <w:p>
            <w:pPr>
              <w:pStyle w:val="46"/>
              <w:spacing w:line="252" w:lineRule="exact"/>
              <w:ind w:left="26"/>
              <w:jc w:val="both"/>
              <w:rPr>
                <w:sz w:val="21"/>
                <w:szCs w:val="21"/>
                <w:highlight w:val="none"/>
                <w:lang w:eastAsia="zh-CN"/>
              </w:rPr>
            </w:pPr>
            <w:r>
              <w:rPr>
                <w:rFonts w:hint="eastAsia"/>
                <w:sz w:val="21"/>
                <w:szCs w:val="21"/>
                <w:highlight w:val="none"/>
                <w:lang w:eastAsia="zh-CN"/>
              </w:rPr>
              <w:t>色彩与材料：色彩与墙面应形成对比，材料可选用涂料、真石漆等。</w:t>
            </w:r>
          </w:p>
        </w:tc>
      </w:tr>
    </w:tbl>
    <w:p>
      <w:pPr>
        <w:pStyle w:val="12"/>
        <w:spacing w:before="5" w:after="1"/>
        <w:ind w:left="0"/>
        <w:rPr>
          <w:rFonts w:ascii="微软雅黑"/>
          <w:b/>
          <w:sz w:val="6"/>
          <w:highlight w:val="none"/>
          <w:lang w:eastAsia="zh-CN"/>
        </w:rPr>
      </w:pPr>
    </w:p>
    <w:p>
      <w:pPr>
        <w:pStyle w:val="12"/>
        <w:spacing w:before="5" w:after="1"/>
        <w:ind w:left="0"/>
        <w:rPr>
          <w:rFonts w:ascii="微软雅黑"/>
          <w:b/>
          <w:sz w:val="6"/>
          <w:highlight w:val="none"/>
          <w:lang w:eastAsia="zh-CN"/>
        </w:rPr>
      </w:pPr>
    </w:p>
    <w:p>
      <w:pPr>
        <w:spacing w:line="252" w:lineRule="exact"/>
        <w:rPr>
          <w:sz w:val="21"/>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val="en-US" w:eastAsia="zh-CN"/>
        </w:rPr>
      </w:pPr>
      <w:bookmarkStart w:id="54" w:name="_bookmark42"/>
      <w:bookmarkEnd w:id="54"/>
      <w:bookmarkStart w:id="55" w:name="_bookmark41"/>
      <w:bookmarkEnd w:id="55"/>
      <w:bookmarkStart w:id="56" w:name="_bookmark40"/>
      <w:bookmarkEnd w:id="56"/>
      <w:r>
        <w:rPr>
          <w:rFonts w:hint="eastAsia" w:ascii="微软雅黑" w:hAnsi="微软雅黑" w:eastAsia="微软雅黑" w:cs="微软雅黑"/>
          <w:b/>
          <w:bCs/>
          <w:color w:val="auto"/>
          <w:sz w:val="30"/>
          <w:szCs w:val="30"/>
          <w:highlight w:val="none"/>
          <w:lang w:val="en-US" w:eastAsia="zh-CN"/>
        </w:rPr>
        <w:t>附表七 鱼峰区不可移动文物保护名录</w:t>
      </w:r>
    </w:p>
    <w:tbl>
      <w:tblPr>
        <w:tblStyle w:val="25"/>
        <w:tblW w:w="1046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5"/>
        <w:gridCol w:w="607"/>
        <w:gridCol w:w="860"/>
        <w:gridCol w:w="653"/>
        <w:gridCol w:w="1019"/>
        <w:gridCol w:w="898"/>
        <w:gridCol w:w="1143"/>
        <w:gridCol w:w="2519"/>
        <w:gridCol w:w="2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序号</w:t>
            </w:r>
          </w:p>
        </w:tc>
        <w:tc>
          <w:tcPr>
            <w:tcW w:w="14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文物名称</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时代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保护单位级别</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公布时间</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地</w:t>
            </w:r>
            <w:r>
              <w:rPr>
                <w:rStyle w:val="50"/>
                <w:sz w:val="21"/>
                <w:szCs w:val="21"/>
                <w:highlight w:val="none"/>
                <w:lang w:val="en-US" w:eastAsia="zh-CN" w:bidi="ar"/>
              </w:rPr>
              <w:t>址</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保护范围</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333333"/>
                <w:sz w:val="21"/>
                <w:szCs w:val="21"/>
                <w:highlight w:val="none"/>
                <w:u w:val="none"/>
              </w:rPr>
            </w:pPr>
            <w:r>
              <w:rPr>
                <w:rFonts w:hint="eastAsia" w:ascii="仿宋" w:hAnsi="仿宋" w:eastAsia="仿宋" w:cs="仿宋"/>
                <w:b/>
                <w:bCs/>
                <w:i w:val="0"/>
                <w:iCs w:val="0"/>
                <w:color w:val="333333"/>
                <w:kern w:val="0"/>
                <w:sz w:val="21"/>
                <w:szCs w:val="21"/>
                <w:highlight w:val="none"/>
                <w:u w:val="none"/>
                <w:lang w:val="en-US" w:eastAsia="zh-CN" w:bidi="ar"/>
              </w:rPr>
              <w:t>建设控制地带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1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白莲洞遗址</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旧石器时代～新石器时代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全国重点文物保护单位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国务院2006年5月公布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柳州市柳石路472号</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以遗址的边界线为基线，南面外延300米，西洞口外半径300米范围内。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以保护范围边界线为基线，东面外延100米，南、北、西面各外延150米范围内。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鲤鱼嘴遗址</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新石器时代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全国重点文物保护单位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国务院2006年5月公布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柳州市龙潭路43号大龙潭公园内龙山山脚</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遗址所在的龙山及龙山山脚外延50米范围内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以保护范围边界线为基线，外延50米范围内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20"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3</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胡志明旧居</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胡志明旧居</w:t>
            </w: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民国</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全国重点文物保护单位</w:t>
            </w:r>
          </w:p>
        </w:tc>
        <w:tc>
          <w:tcPr>
            <w:tcW w:w="8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国务院2006年5月公布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柳州市柳石路2-1号</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以旧居主体建筑基底为基线，东至建筑基底，南、西、北面各外延50米范围内。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以保护范围边界线为基线，东面80米，南、西、北各外延30米内。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乐群社旧址</w:t>
            </w: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柳州市柳石路2号</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以旧址主体建筑四周围墙为基线，西安、北面至建筑基底，东南面各外延50米范围内。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以保护范围边界线为基线，外延20米内。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蟠龙山扣留所旧址</w:t>
            </w: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柳州市窑埠街114号蟠龙山山脚</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以山洞为中心，向四周外延30米范围内。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以保护范围边界线为基线，外延20米内。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红楼旧址</w:t>
            </w: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柳州市友谊路1号柳州饭店一号楼（即红楼）</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以旧址主体建筑四周围墙为基线，东面外延24米，西、北面各外延50米，南面至友谊路红线外3米范围内。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东、南面同保护范围同界，西、北面以保护范围边界线为基线，外延50米范围内。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5"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4</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昆仑关战役旧址</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桂南会战检讨会旧址</w:t>
            </w: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民国</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全国重点文物保护单位</w:t>
            </w:r>
          </w:p>
        </w:tc>
        <w:tc>
          <w:tcPr>
            <w:tcW w:w="8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国务院2006年5月公布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柳州市鱼峰区羊角山路8号广西胸科医院宿舍区宿舍区内</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旧址本身</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 xml:space="preserve">北25米，东11米，西 </w:t>
            </w:r>
            <w:r>
              <w:rPr>
                <w:rStyle w:val="51"/>
                <w:rFonts w:eastAsia="仿宋"/>
                <w:sz w:val="21"/>
                <w:szCs w:val="21"/>
                <w:highlight w:val="none"/>
                <w:lang w:val="en-US" w:eastAsia="zh-CN" w:bidi="ar"/>
              </w:rPr>
              <w:t>  </w:t>
            </w:r>
            <w:r>
              <w:rPr>
                <w:rStyle w:val="52"/>
                <w:sz w:val="21"/>
                <w:szCs w:val="21"/>
                <w:highlight w:val="none"/>
                <w:lang w:val="en-US" w:eastAsia="zh-CN" w:bidi="ar"/>
              </w:rPr>
              <w:t>2米，南5米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护蒋洞</w:t>
            </w: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柳州市羊角山路6号广西血液中心院内</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山洞所在山体及洞口四周20米</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整个山体洞口四周外延30米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0"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5</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鱼峰山马鞍山摩崖石刻</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马鞍山摩崖石刻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宋至清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自治区重点文物保护单位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自治区人民政府1981年公布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柳州市屏山大道鱼马公园内马鞍山北面中部和西麓</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石刻四周围5米</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石刻周围20米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0"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鱼峰山摩崖石刻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元至清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柳州市鱼峰路鱼峰山山体及中部山洞内</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整个山体</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保护范围向外扩30米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6</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九头山汉墓</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汉代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自治区政府2009年公布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柳州市羊角山乡九头山村西南</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墓葬本身四周10米</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墓葬周围20米内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7</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刘蕡墓</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唐代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自治区政府2009年公布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柳州市西鹅乡文笔村龙兴屯南</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墓葬周围20米内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墓葬周围50米内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8</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杨廷理及其家族墓</w:t>
            </w: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杨廷理墓</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清</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自治区文物保护单位</w:t>
            </w:r>
          </w:p>
        </w:tc>
        <w:tc>
          <w:tcPr>
            <w:tcW w:w="8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自治区政府2009年公布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柳州市柳石路至碧芙蓉公园路旁</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以墓为中心点西安南面往外外延50米，东北侧到规划道路红线</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西南50米保护范围再外延伸50米，东北侧至规划道路红线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60"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杨廷理家族墓</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清</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柳州市马鹿山东南1公里处</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以3号墓为中心点，四周外延100米</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以保护范围外延50米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9</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新安汉墓群</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汉</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自治区政府1994年公布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柳州市鱼峰区白沙乡新安村小田头屯至崖尾屯之间</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highlight w:val="none"/>
                <w:u w:val="none"/>
              </w:rPr>
            </w:pP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10</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游山摩崖石刻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近现代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柳州市人民政府2011年公布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柳州市鱼峰区白莲街道大桥社区游山村游山</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石刻所在整座山体</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山体四边外延5米范围内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11</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书山摩崖石刻及碑刻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333333"/>
                <w:sz w:val="21"/>
                <w:szCs w:val="21"/>
                <w:highlight w:val="none"/>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柳州市人民政府2011年公布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柳州市鱼峰区都乐公园书山及碑廊</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石刻所在整座山体及碑廊</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石刻所在整座山体及整座碑廊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12</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回族墓地</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柳州市柳东乡窑埠村南面丘陵</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各墓葬本身</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墓地周围10米内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13</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灵泉寺</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唐</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柳州市屏山大道鱼马公园内马鞍山西</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寺四周围墙</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北5米，东5米，南30米，西10米。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14</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蟠龙山古建筑遗址</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柳州市柳东路3号蟠龙山公园内</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①塔址及附属物四周10米②遗址本身</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①海拔标高120米以上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15</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响水遗址</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新石器时代</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柳州市柳东乡阳和村西柳江对岸</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遗址范围内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沿响水河30米，沿柳江50米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16</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驾鹤山摩崖石刻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宋至明清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柳州市荣军路1号驾鹤小桃园驾鹤书院旁</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石刻外5米内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石刻外20米内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705"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17</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都乐-帽合史前文化遗址群</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史前</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柳州市人民政府2011年公布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柳州市鱼峰区都乐河、柳南区帽合河两岸</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1.双洞、穿洞保护范围为洞本身；2.仙佛洞、社王洞、白岩洞、醉客岩、大佛洞、帽合山、老羊田保护范围为各遗址所在山体</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双洞建设控制地带以洞口中心点为原点，东、南、西20米范围内；2.穿洞为以洞口中心点为原点，南侧洞口，东、南、西20米范围内；北侧洞口，北、东、西20米范围内；3.仙佛洞、社王洞、白岩洞、醉客岩、大佛洞、帽合山、老羊田建设控制地带为保护范围再向外延20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18</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平北三大功绩及九曲洞摩崖石刻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明</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柳州市荣军路蚂拐岩</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石刻外10米内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石刻外30米内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19</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雷山摩崖石刻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明</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柳州市龙潭路43号大龙潭公园雷山</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石刻外10米内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石刻外30米内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20</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陆道岩摩崖石刻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宋</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柳州市柳东乡独凳村陆道岩</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岩洞内及洞口四周30米内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洞口外四周100米内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21</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“天山万里”摩崖石刻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明</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柳州市羊角山乡水南村</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石刻外30米内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石刻外80米内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22</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社王山摩崖石刻</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明</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柳州市羊角山乡门头村社王山上</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石刻外10米内</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石刻外30米内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23</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戴钦墓</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明</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柳州市人民政府1996年公布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柳州市鱼峰路鱼峰公园鱼峰山北麓</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墓葬本身</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周围10米内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24</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唐学益墓</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柳州市人民政府2003年公布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柳州市柳石路大桥园艺场三台山</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墓葬周围20米</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墓葬周围50米内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25</w:t>
            </w:r>
          </w:p>
        </w:tc>
        <w:tc>
          <w:tcPr>
            <w:tcW w:w="14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赵家井</w:t>
            </w:r>
          </w:p>
        </w:tc>
        <w:tc>
          <w:tcPr>
            <w:tcW w:w="6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清</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柳州市文物保护单位</w:t>
            </w:r>
          </w:p>
        </w:tc>
        <w:tc>
          <w:tcPr>
            <w:tcW w:w="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柳州市人民政府2003年公布</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柳州市驾鹤路江滨公园内</w:t>
            </w:r>
          </w:p>
        </w:tc>
        <w:tc>
          <w:tcPr>
            <w:tcW w:w="25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北距柳江边，西10米，南至防洪堤10米，东10米</w:t>
            </w:r>
          </w:p>
        </w:tc>
        <w:tc>
          <w:tcPr>
            <w:tcW w:w="2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333333"/>
                <w:sz w:val="21"/>
                <w:szCs w:val="21"/>
                <w:highlight w:val="none"/>
                <w:u w:val="none"/>
              </w:rPr>
            </w:pPr>
            <w:r>
              <w:rPr>
                <w:rFonts w:hint="eastAsia" w:ascii="仿宋" w:hAnsi="仿宋" w:eastAsia="仿宋" w:cs="仿宋"/>
                <w:i w:val="0"/>
                <w:iCs w:val="0"/>
                <w:color w:val="333333"/>
                <w:kern w:val="0"/>
                <w:sz w:val="21"/>
                <w:szCs w:val="21"/>
                <w:highlight w:val="none"/>
                <w:u w:val="none"/>
                <w:lang w:val="en-US" w:eastAsia="zh-CN" w:bidi="ar"/>
              </w:rPr>
              <w:t>保护范围四周向外延20米</w:t>
            </w:r>
          </w:p>
        </w:tc>
      </w:tr>
    </w:tbl>
    <w:p>
      <w:pPr>
        <w:rPr>
          <w:sz w:val="21"/>
          <w:highlight w:val="none"/>
          <w:lang w:eastAsia="zh-CN"/>
        </w:rPr>
      </w:pPr>
      <w:r>
        <w:rPr>
          <w:sz w:val="21"/>
          <w:highlight w:val="none"/>
          <w:lang w:eastAsia="zh-CN"/>
        </w:rPr>
        <w:t>注：资料来源</w:t>
      </w:r>
      <w:r>
        <w:rPr>
          <w:rFonts w:hint="eastAsia"/>
          <w:sz w:val="21"/>
          <w:highlight w:val="none"/>
          <w:lang w:val="en-US" w:eastAsia="zh-CN"/>
        </w:rPr>
        <w:t>柳州市文化广电和旅游局《柳州市各级文物保护单位一览表》（2025年2月）、柳州市鱼峰区人民政府、</w:t>
      </w:r>
      <w:r>
        <w:rPr>
          <w:rFonts w:hint="eastAsia"/>
          <w:sz w:val="21"/>
          <w:highlight w:val="none"/>
          <w:lang w:eastAsia="zh-CN"/>
        </w:rPr>
        <w:t>鱼峰区文化体育广电和旅游局《柳州市鱼峰区各级文物保护单位一览表》（</w:t>
      </w:r>
      <w:r>
        <w:rPr>
          <w:rFonts w:hint="eastAsia"/>
          <w:sz w:val="21"/>
          <w:highlight w:val="none"/>
          <w:lang w:val="en-US" w:eastAsia="zh-CN"/>
        </w:rPr>
        <w:t>2023年9月</w:t>
      </w:r>
      <w:r>
        <w:rPr>
          <w:rFonts w:hint="eastAsia"/>
          <w:sz w:val="21"/>
          <w:highlight w:val="none"/>
          <w:lang w:eastAsia="zh-CN"/>
        </w:rPr>
        <w:t>）</w:t>
      </w:r>
      <w:r>
        <w:rPr>
          <w:sz w:val="21"/>
          <w:highlight w:val="none"/>
          <w:lang w:eastAsia="zh-CN"/>
        </w:rPr>
        <w:t>。</w:t>
      </w:r>
    </w:p>
    <w:p>
      <w:pPr>
        <w:rPr>
          <w:sz w:val="21"/>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8"/>
        <w:jc w:val="center"/>
        <w:rPr>
          <w:rFonts w:hint="eastAsia" w:ascii="微软雅黑" w:hAnsi="微软雅黑" w:eastAsia="微软雅黑" w:cs="微软雅黑"/>
          <w:b/>
          <w:bCs/>
          <w:color w:val="auto"/>
          <w:sz w:val="30"/>
          <w:szCs w:val="30"/>
          <w:highlight w:val="none"/>
          <w:lang w:val="en-US" w:eastAsia="zh-CN"/>
        </w:rPr>
      </w:pPr>
      <w:r>
        <w:rPr>
          <w:rFonts w:hint="eastAsia" w:ascii="微软雅黑" w:hAnsi="微软雅黑" w:eastAsia="微软雅黑" w:cs="微软雅黑"/>
          <w:b/>
          <w:bCs/>
          <w:color w:val="auto"/>
          <w:sz w:val="30"/>
          <w:szCs w:val="30"/>
          <w:highlight w:val="none"/>
          <w:lang w:val="en-US" w:eastAsia="zh-CN"/>
        </w:rPr>
        <w:t>附表八 鱼峰区各级非物质文化遗产代表性名录</w:t>
      </w:r>
    </w:p>
    <w:tbl>
      <w:tblPr>
        <w:tblStyle w:val="25"/>
        <w:tblW w:w="10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4"/>
        <w:gridCol w:w="1112"/>
        <w:gridCol w:w="938"/>
        <w:gridCol w:w="1120"/>
        <w:gridCol w:w="3719"/>
        <w:gridCol w:w="1171"/>
        <w:gridCol w:w="1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时间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项目类别</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项目名称</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等级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市级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2014年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民俗</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柳州“鱼峰歌圩”</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市级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鱼峰区级第三批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市级</w:t>
            </w:r>
            <w:r>
              <w:rPr>
                <w:rFonts w:hint="eastAsia" w:ascii="仿宋" w:hAnsi="仿宋" w:eastAsia="仿宋" w:cs="仿宋"/>
                <w:i w:val="0"/>
                <w:iCs w:val="0"/>
                <w:color w:val="000000"/>
                <w:kern w:val="0"/>
                <w:sz w:val="22"/>
                <w:szCs w:val="22"/>
                <w:highlight w:val="none"/>
                <w:u w:val="none"/>
                <w:lang w:val="en-US" w:eastAsia="zh-CN" w:bidi="ar"/>
              </w:rPr>
              <w:t>第五批次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2016年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柳州锦桂楼制饼技艺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市级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市级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传统美术</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柳州奇石欣赏艺术</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市级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鱼峰区级第三批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市级</w:t>
            </w:r>
            <w:r>
              <w:rPr>
                <w:rFonts w:hint="eastAsia" w:ascii="仿宋" w:hAnsi="仿宋" w:eastAsia="仿宋" w:cs="仿宋"/>
                <w:i w:val="0"/>
                <w:iCs w:val="0"/>
                <w:color w:val="000000"/>
                <w:kern w:val="0"/>
                <w:sz w:val="22"/>
                <w:szCs w:val="22"/>
                <w:highlight w:val="none"/>
                <w:u w:val="none"/>
                <w:lang w:val="en-US" w:eastAsia="zh-CN" w:bidi="ar"/>
              </w:rPr>
              <w:t>第八批次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2022年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头菜制作技艺（里雍头菜制作技艺）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市级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鱼峰区级第三批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市级</w:t>
            </w:r>
            <w:r>
              <w:rPr>
                <w:rFonts w:hint="eastAsia" w:ascii="仿宋" w:hAnsi="仿宋" w:eastAsia="仿宋" w:cs="仿宋"/>
                <w:i w:val="0"/>
                <w:iCs w:val="0"/>
                <w:color w:val="000000"/>
                <w:kern w:val="0"/>
                <w:sz w:val="22"/>
                <w:szCs w:val="22"/>
                <w:highlight w:val="none"/>
                <w:u w:val="none"/>
                <w:lang w:val="en-US" w:eastAsia="zh-CN" w:bidi="ar"/>
              </w:rPr>
              <w:t>第八批次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2022年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姜糖制作技艺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市级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鱼峰区级第五批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市级</w:t>
            </w:r>
            <w:r>
              <w:rPr>
                <w:rFonts w:hint="eastAsia" w:ascii="仿宋" w:hAnsi="仿宋" w:eastAsia="仿宋" w:cs="仿宋"/>
                <w:i w:val="0"/>
                <w:iCs w:val="0"/>
                <w:color w:val="000000"/>
                <w:kern w:val="0"/>
                <w:sz w:val="22"/>
                <w:szCs w:val="22"/>
                <w:highlight w:val="none"/>
                <w:u w:val="none"/>
                <w:lang w:val="en-US" w:eastAsia="zh-CN" w:bidi="ar"/>
              </w:rPr>
              <w:t>第九批次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螺狮酱制作技艺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市级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鱼峰区级第三批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豆角酸制作技艺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石灰糕制作技艺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艾粑粑制作技艺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10</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五色饭制作技艺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11</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民间传说</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刘三姐的传说</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12</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民间传说</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柳宗元的传说</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豆腐酿制作工</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14</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打同年长桌宴</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鸿运当头牛头宴</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露水汤圆制作技艺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油花制作技艺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土沉香制作工艺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糖画制作技艺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柳州螺蛳粉制作工艺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21</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芝麻米饼制作技艺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22</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民俗</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雷塘庙会</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第三批次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2020年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民俗</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做社</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24</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2021年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烙画技艺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2021年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民间文学</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箭盘山传说（名字的由来）</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2021年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冰糖酸制作技艺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2021年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酸笋制作技艺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2021年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螺蛳饼手工制作技艺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第四批次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2021年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top"/>
              <w:rPr>
                <w:rFonts w:hint="eastAsia" w:ascii="仿宋" w:hAnsi="仿宋" w:eastAsia="仿宋" w:cs="仿宋"/>
                <w:i w:val="0"/>
                <w:iCs w:val="0"/>
                <w:color w:val="333333"/>
                <w:sz w:val="22"/>
                <w:szCs w:val="22"/>
                <w:highlight w:val="none"/>
                <w:u w:val="none"/>
              </w:rPr>
            </w:pPr>
            <w:r>
              <w:rPr>
                <w:rFonts w:hint="eastAsia" w:ascii="仿宋" w:hAnsi="仿宋" w:eastAsia="仿宋" w:cs="仿宋"/>
                <w:i w:val="0"/>
                <w:iCs w:val="0"/>
                <w:color w:val="333333"/>
                <w:kern w:val="0"/>
                <w:sz w:val="22"/>
                <w:szCs w:val="22"/>
                <w:highlight w:val="none"/>
                <w:u w:val="none"/>
                <w:lang w:val="en-US" w:eastAsia="zh-CN" w:bidi="ar"/>
              </w:rPr>
              <w:t>螺蛳汤制作技艺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30</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第五批次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2022年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制作技艺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里雍米饼制作技艺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31</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第五批次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2022年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制作技艺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里雍腐竹制作技艺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32</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第五批次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2022年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传统美术</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反体书写技艺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第五批次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2022年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传统美术</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蝴蝴蝶翅画</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34</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传统医药</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壮医(中草药疗骨法)</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山楂果脯制作技艺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山乌的制作技艺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白沙扣肉制作技艺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灰水粽制作技艺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螺蛳鸭脚煲制作技艺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40</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香酥芋蓉鸭制作技艺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41</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传统大型幻术道具制作技艺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42</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传统技艺</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柳州植物染染色技艺</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43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鱼峰区级</w:t>
            </w:r>
            <w:r>
              <w:rPr>
                <w:rFonts w:hint="eastAsia" w:ascii="仿宋" w:hAnsi="仿宋" w:eastAsia="仿宋" w:cs="仿宋"/>
                <w:i w:val="0"/>
                <w:iCs w:val="0"/>
                <w:color w:val="000000"/>
                <w:kern w:val="0"/>
                <w:sz w:val="22"/>
                <w:szCs w:val="22"/>
                <w:highlight w:val="none"/>
                <w:u w:val="none"/>
                <w:lang w:val="en-US" w:eastAsia="zh-CN" w:bidi="ar"/>
              </w:rPr>
              <w:t>第七批次</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2024年</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民俗</w:t>
            </w:r>
          </w:p>
        </w:tc>
        <w:tc>
          <w:tcPr>
            <w:tcW w:w="3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rPr>
            </w:pPr>
            <w:r>
              <w:rPr>
                <w:rFonts w:hint="eastAsia" w:cs="仿宋"/>
                <w:i w:val="0"/>
                <w:iCs w:val="0"/>
                <w:color w:val="000000"/>
                <w:kern w:val="0"/>
                <w:sz w:val="22"/>
                <w:szCs w:val="22"/>
                <w:highlight w:val="none"/>
                <w:u w:val="none"/>
                <w:lang w:val="en-US" w:eastAsia="zh-CN" w:bidi="ar"/>
              </w:rPr>
              <w:t>里雍圩日</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鱼峰区级</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highlight w:val="none"/>
                <w:u w:val="none"/>
              </w:rPr>
            </w:pPr>
          </w:p>
        </w:tc>
      </w:tr>
    </w:tbl>
    <w:p>
      <w:pPr>
        <w:rPr>
          <w:sz w:val="21"/>
          <w:highlight w:val="none"/>
          <w:lang w:eastAsia="zh-CN"/>
        </w:rPr>
      </w:pPr>
      <w:r>
        <w:rPr>
          <w:sz w:val="21"/>
          <w:highlight w:val="none"/>
          <w:lang w:eastAsia="zh-CN"/>
        </w:rPr>
        <w:t>注：资料来源</w:t>
      </w:r>
      <w:r>
        <w:rPr>
          <w:rFonts w:hint="eastAsia"/>
          <w:sz w:val="21"/>
          <w:highlight w:val="none"/>
          <w:lang w:eastAsia="zh-CN"/>
        </w:rPr>
        <w:t>柳州市人民政府网站、柳州市文化广电和旅游局《柳州市级非物质文化遗产代表性项目名录》；鱼峰区文化体育广电和旅游局《第三批鱼峰区级非物质文化遗产名录》；</w:t>
      </w:r>
      <w:r>
        <w:rPr>
          <w:rFonts w:hint="eastAsia"/>
          <w:sz w:val="21"/>
          <w:highlight w:val="none"/>
          <w:lang w:val="en-US" w:eastAsia="zh-CN"/>
        </w:rPr>
        <w:t>鱼峰区人民政府《鱼政发〔2021〕14号 鱼峰区人民政府关于公布第三批鱼峰区级非物质文化遗产项目代表性传承人名单及公布第四批鱼峰区级非物质文化遗产名录（第一批次）的通知》；鱼峰区文化体育广电和旅游局《鱼峰区级非物质文化遗产项目名录》；鱼峰区文化体育广电和旅游局《鱼峰区人民政府关于公布第七批鱼峰区级非物质文化遗产代表性项目名录的通知》；鱼峰区文化体育广电和旅游局《鱼峰区文化体育广电和旅游局关于公示第七批鱼峰区级非物质文化遗产代表性项目名录增补项目名单的公告》等，</w:t>
      </w:r>
      <w:r>
        <w:rPr>
          <w:sz w:val="21"/>
          <w:highlight w:val="none"/>
          <w:lang w:eastAsia="zh-CN"/>
        </w:rPr>
        <w:t>登记</w:t>
      </w:r>
      <w:r>
        <w:rPr>
          <w:color w:val="auto"/>
          <w:sz w:val="21"/>
          <w:highlight w:val="none"/>
          <w:lang w:eastAsia="zh-CN"/>
        </w:rPr>
        <w:t>截</w:t>
      </w:r>
      <w:r>
        <w:rPr>
          <w:rFonts w:hint="eastAsia"/>
          <w:color w:val="auto"/>
          <w:sz w:val="21"/>
          <w:highlight w:val="none"/>
          <w:lang w:val="en-US" w:eastAsia="zh-CN"/>
        </w:rPr>
        <w:t>至</w:t>
      </w:r>
      <w:r>
        <w:rPr>
          <w:rFonts w:ascii="Times New Roman" w:eastAsia="Times New Roman"/>
          <w:color w:val="auto"/>
          <w:sz w:val="21"/>
          <w:highlight w:val="none"/>
          <w:lang w:eastAsia="zh-CN"/>
        </w:rPr>
        <w:t>2</w:t>
      </w:r>
      <w:r>
        <w:rPr>
          <w:rFonts w:ascii="Times New Roman" w:eastAsia="Times New Roman"/>
          <w:sz w:val="21"/>
          <w:highlight w:val="none"/>
          <w:lang w:eastAsia="zh-CN"/>
        </w:rPr>
        <w:t>024</w:t>
      </w:r>
      <w:r>
        <w:rPr>
          <w:sz w:val="21"/>
          <w:highlight w:val="none"/>
          <w:lang w:eastAsia="zh-CN"/>
        </w:rPr>
        <w:t>年</w:t>
      </w:r>
      <w:r>
        <w:rPr>
          <w:rFonts w:ascii="Times New Roman" w:eastAsia="Times New Roman"/>
          <w:sz w:val="21"/>
          <w:highlight w:val="none"/>
          <w:lang w:eastAsia="zh-CN"/>
        </w:rPr>
        <w:t>12</w:t>
      </w:r>
      <w:r>
        <w:rPr>
          <w:sz w:val="21"/>
          <w:highlight w:val="none"/>
          <w:lang w:eastAsia="zh-CN"/>
        </w:rPr>
        <w:t>月。</w:t>
      </w:r>
    </w:p>
    <w:p>
      <w:pPr>
        <w:rPr>
          <w:sz w:val="21"/>
          <w:highlight w:val="none"/>
          <w:lang w:eastAsia="zh-CN"/>
        </w:rPr>
        <w:sectPr>
          <w:pgSz w:w="11910" w:h="16840"/>
          <w:pgMar w:top="1580" w:right="680" w:bottom="880" w:left="980" w:header="850" w:footer="992" w:gutter="0"/>
          <w:cols w:space="720" w:num="1"/>
        </w:sectPr>
      </w:pPr>
    </w:p>
    <w:p>
      <w:pPr>
        <w:pStyle w:val="5"/>
        <w:keepNext w:val="0"/>
        <w:keepLines w:val="0"/>
        <w:spacing w:before="0" w:after="0"/>
        <w:ind w:right="298"/>
        <w:jc w:val="center"/>
        <w:rPr>
          <w:rFonts w:ascii="微软雅黑" w:hAnsi="微软雅黑" w:eastAsia="微软雅黑" w:cs="微软雅黑"/>
          <w:b/>
          <w:bCs/>
          <w:color w:val="auto"/>
          <w:sz w:val="30"/>
          <w:szCs w:val="30"/>
          <w:highlight w:val="none"/>
          <w:lang w:eastAsia="zh-CN"/>
        </w:rPr>
      </w:pPr>
      <w:r>
        <w:rPr>
          <w:rFonts w:hint="eastAsia" w:ascii="微软雅黑" w:hAnsi="微软雅黑" w:eastAsia="微软雅黑" w:cs="微软雅黑"/>
          <w:b/>
          <w:bCs/>
          <w:color w:val="auto"/>
          <w:sz w:val="30"/>
          <w:szCs w:val="30"/>
          <w:highlight w:val="none"/>
          <w:lang w:val="en-US" w:eastAsia="zh-CN"/>
        </w:rPr>
        <w:t xml:space="preserve">附表九 </w:t>
      </w:r>
      <w:r>
        <w:rPr>
          <w:rFonts w:hint="eastAsia" w:ascii="微软雅黑" w:hAnsi="微软雅黑" w:eastAsia="微软雅黑" w:cs="微软雅黑"/>
          <w:b/>
          <w:bCs/>
          <w:color w:val="auto"/>
          <w:sz w:val="30"/>
          <w:szCs w:val="30"/>
          <w:highlight w:val="none"/>
          <w:lang w:eastAsia="zh-CN"/>
        </w:rPr>
        <w:t>鱼峰区</w:t>
      </w:r>
      <w:r>
        <w:rPr>
          <w:rFonts w:ascii="微软雅黑" w:hAnsi="微软雅黑" w:eastAsia="微软雅黑" w:cs="微软雅黑"/>
          <w:b/>
          <w:bCs/>
          <w:color w:val="auto"/>
          <w:sz w:val="30"/>
          <w:szCs w:val="30"/>
          <w:highlight w:val="none"/>
          <w:lang w:eastAsia="zh-CN"/>
        </w:rPr>
        <w:t>滨水岸线乡村建设指引表</w:t>
      </w:r>
    </w:p>
    <w:p>
      <w:pPr>
        <w:pStyle w:val="12"/>
        <w:spacing w:before="5" w:after="1"/>
        <w:ind w:left="0"/>
        <w:rPr>
          <w:rFonts w:ascii="微软雅黑"/>
          <w:b/>
          <w:sz w:val="6"/>
          <w:highlight w:val="none"/>
          <w:lang w:eastAsia="zh-CN"/>
        </w:rPr>
      </w:pPr>
    </w:p>
    <w:tbl>
      <w:tblPr>
        <w:tblStyle w:val="44"/>
        <w:tblW w:w="97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
        <w:gridCol w:w="995"/>
        <w:gridCol w:w="2230"/>
        <w:gridCol w:w="2038"/>
        <w:gridCol w:w="4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jc w:val="center"/>
        </w:trPr>
        <w:tc>
          <w:tcPr>
            <w:tcW w:w="1338" w:type="dxa"/>
            <w:gridSpan w:val="2"/>
            <w:vMerge w:val="restart"/>
            <w:vAlign w:val="center"/>
          </w:tcPr>
          <w:p>
            <w:pPr>
              <w:pStyle w:val="46"/>
              <w:spacing w:before="164"/>
              <w:ind w:right="426"/>
              <w:rPr>
                <w:sz w:val="21"/>
                <w:highlight w:val="none"/>
              </w:rPr>
            </w:pPr>
            <w:r>
              <w:rPr>
                <w:sz w:val="21"/>
                <w:highlight w:val="none"/>
              </w:rPr>
              <w:t>指标</w:t>
            </w:r>
          </w:p>
        </w:tc>
        <w:tc>
          <w:tcPr>
            <w:tcW w:w="8402" w:type="dxa"/>
            <w:gridSpan w:val="3"/>
            <w:vAlign w:val="center"/>
          </w:tcPr>
          <w:p>
            <w:pPr>
              <w:pStyle w:val="46"/>
              <w:spacing w:before="10" w:line="267" w:lineRule="exact"/>
              <w:ind w:left="3763" w:right="3754"/>
              <w:jc w:val="both"/>
              <w:rPr>
                <w:sz w:val="21"/>
                <w:highlight w:val="none"/>
              </w:rPr>
            </w:pPr>
            <w:r>
              <w:rPr>
                <w:sz w:val="21"/>
                <w:highlight w:val="none"/>
              </w:rPr>
              <w:t>河段宽度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jc w:val="center"/>
        </w:trPr>
        <w:tc>
          <w:tcPr>
            <w:tcW w:w="1338" w:type="dxa"/>
            <w:gridSpan w:val="2"/>
            <w:vMerge w:val="continue"/>
            <w:tcBorders>
              <w:top w:val="nil"/>
            </w:tcBorders>
            <w:vAlign w:val="center"/>
          </w:tcPr>
          <w:p>
            <w:pPr>
              <w:jc w:val="both"/>
              <w:rPr>
                <w:sz w:val="2"/>
                <w:szCs w:val="2"/>
                <w:highlight w:val="none"/>
              </w:rPr>
            </w:pPr>
          </w:p>
        </w:tc>
        <w:tc>
          <w:tcPr>
            <w:tcW w:w="2230" w:type="dxa"/>
            <w:vAlign w:val="center"/>
          </w:tcPr>
          <w:p>
            <w:pPr>
              <w:pStyle w:val="46"/>
              <w:spacing w:before="10" w:line="264" w:lineRule="exact"/>
              <w:ind w:left="757" w:right="745"/>
              <w:jc w:val="both"/>
              <w:rPr>
                <w:sz w:val="21"/>
                <w:highlight w:val="none"/>
              </w:rPr>
            </w:pPr>
            <w:r>
              <w:rPr>
                <w:sz w:val="21"/>
                <w:highlight w:val="none"/>
              </w:rPr>
              <w:t>＜</w:t>
            </w:r>
            <w:r>
              <w:rPr>
                <w:rFonts w:ascii="Times New Roman" w:eastAsia="Times New Roman"/>
                <w:sz w:val="21"/>
                <w:highlight w:val="none"/>
              </w:rPr>
              <w:t>10</w:t>
            </w:r>
            <w:r>
              <w:rPr>
                <w:sz w:val="21"/>
                <w:highlight w:val="none"/>
              </w:rPr>
              <w:t>米</w:t>
            </w:r>
          </w:p>
        </w:tc>
        <w:tc>
          <w:tcPr>
            <w:tcW w:w="2038" w:type="dxa"/>
            <w:tcBorders>
              <w:right w:val="single" w:color="000000" w:sz="6" w:space="0"/>
            </w:tcBorders>
            <w:vAlign w:val="center"/>
          </w:tcPr>
          <w:p>
            <w:pPr>
              <w:pStyle w:val="46"/>
              <w:spacing w:before="10" w:line="264" w:lineRule="exact"/>
              <w:ind w:left="639"/>
              <w:jc w:val="both"/>
              <w:rPr>
                <w:sz w:val="21"/>
                <w:highlight w:val="none"/>
              </w:rPr>
            </w:pPr>
            <w:r>
              <w:rPr>
                <w:rFonts w:ascii="Times New Roman" w:eastAsia="Times New Roman"/>
                <w:sz w:val="21"/>
                <w:highlight w:val="none"/>
              </w:rPr>
              <w:t>15-50</w:t>
            </w:r>
            <w:r>
              <w:rPr>
                <w:sz w:val="21"/>
                <w:highlight w:val="none"/>
              </w:rPr>
              <w:t>米</w:t>
            </w:r>
          </w:p>
        </w:tc>
        <w:tc>
          <w:tcPr>
            <w:tcW w:w="4134" w:type="dxa"/>
            <w:tcBorders>
              <w:left w:val="single" w:color="000000" w:sz="6" w:space="0"/>
            </w:tcBorders>
            <w:vAlign w:val="center"/>
          </w:tcPr>
          <w:p>
            <w:pPr>
              <w:pStyle w:val="46"/>
              <w:spacing w:before="10" w:line="264" w:lineRule="exact"/>
              <w:ind w:left="1703" w:right="1696"/>
              <w:jc w:val="both"/>
              <w:rPr>
                <w:sz w:val="21"/>
                <w:highlight w:val="none"/>
              </w:rPr>
            </w:pPr>
            <w:r>
              <w:rPr>
                <w:sz w:val="21"/>
                <w:highlight w:val="none"/>
              </w:rPr>
              <w:t>＞</w:t>
            </w:r>
            <w:r>
              <w:rPr>
                <w:rFonts w:ascii="Times New Roman" w:eastAsia="Times New Roman"/>
                <w:sz w:val="21"/>
                <w:highlight w:val="none"/>
              </w:rPr>
              <w:t>50</w:t>
            </w:r>
            <w:r>
              <w:rPr>
                <w:sz w:val="21"/>
                <w:highlight w:val="none"/>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7" w:hRule="atLeast"/>
          <w:jc w:val="center"/>
        </w:trPr>
        <w:tc>
          <w:tcPr>
            <w:tcW w:w="1338" w:type="dxa"/>
            <w:gridSpan w:val="2"/>
            <w:vAlign w:val="center"/>
          </w:tcPr>
          <w:p>
            <w:pPr>
              <w:pStyle w:val="46"/>
              <w:jc w:val="both"/>
              <w:rPr>
                <w:sz w:val="21"/>
                <w:highlight w:val="none"/>
              </w:rPr>
            </w:pPr>
            <w:r>
              <w:rPr>
                <w:sz w:val="21"/>
                <w:highlight w:val="none"/>
              </w:rPr>
              <w:t>建筑退让</w:t>
            </w:r>
          </w:p>
        </w:tc>
        <w:tc>
          <w:tcPr>
            <w:tcW w:w="4268" w:type="dxa"/>
            <w:gridSpan w:val="2"/>
            <w:tcBorders>
              <w:right w:val="single" w:color="000000" w:sz="6" w:space="0"/>
            </w:tcBorders>
            <w:vAlign w:val="center"/>
          </w:tcPr>
          <w:p>
            <w:pPr>
              <w:pStyle w:val="46"/>
              <w:numPr>
                <w:ilvl w:val="0"/>
                <w:numId w:val="15"/>
              </w:numPr>
              <w:tabs>
                <w:tab w:val="left" w:pos="188"/>
              </w:tabs>
              <w:spacing w:line="255" w:lineRule="exact"/>
              <w:ind w:hanging="161"/>
              <w:jc w:val="both"/>
              <w:rPr>
                <w:sz w:val="21"/>
                <w:highlight w:val="none"/>
                <w:lang w:eastAsia="zh-CN"/>
              </w:rPr>
            </w:pPr>
            <w:r>
              <w:rPr>
                <w:spacing w:val="-3"/>
                <w:sz w:val="21"/>
                <w:highlight w:val="none"/>
                <w:lang w:eastAsia="zh-CN"/>
              </w:rPr>
              <w:t>建筑可紧邻水体，与驳岸边缘相接；</w:t>
            </w:r>
          </w:p>
          <w:p>
            <w:pPr>
              <w:pStyle w:val="46"/>
              <w:numPr>
                <w:ilvl w:val="0"/>
                <w:numId w:val="15"/>
              </w:numPr>
              <w:tabs>
                <w:tab w:val="left" w:pos="188"/>
              </w:tabs>
              <w:spacing w:line="255" w:lineRule="exact"/>
              <w:ind w:hanging="161"/>
              <w:jc w:val="both"/>
              <w:rPr>
                <w:sz w:val="21"/>
                <w:highlight w:val="none"/>
                <w:lang w:eastAsia="zh-CN"/>
              </w:rPr>
            </w:pPr>
            <w:r>
              <w:rPr>
                <w:spacing w:val="-3"/>
                <w:sz w:val="21"/>
                <w:highlight w:val="none"/>
                <w:lang w:eastAsia="zh-CN"/>
              </w:rPr>
              <w:t>建筑可后退出人行步道、长廊或活动场地。</w:t>
            </w:r>
          </w:p>
        </w:tc>
        <w:tc>
          <w:tcPr>
            <w:tcW w:w="4134" w:type="dxa"/>
            <w:tcBorders>
              <w:left w:val="single" w:color="000000" w:sz="6" w:space="0"/>
            </w:tcBorders>
            <w:vAlign w:val="center"/>
          </w:tcPr>
          <w:p>
            <w:pPr>
              <w:pStyle w:val="46"/>
              <w:numPr>
                <w:ilvl w:val="0"/>
                <w:numId w:val="16"/>
              </w:numPr>
              <w:tabs>
                <w:tab w:val="left" w:pos="185"/>
              </w:tabs>
              <w:spacing w:before="10" w:line="255" w:lineRule="exact"/>
              <w:ind w:right="-58"/>
              <w:jc w:val="both"/>
              <w:rPr>
                <w:sz w:val="21"/>
                <w:highlight w:val="none"/>
                <w:lang w:eastAsia="zh-CN"/>
              </w:rPr>
            </w:pPr>
            <w:r>
              <w:rPr>
                <w:spacing w:val="-4"/>
                <w:sz w:val="21"/>
                <w:highlight w:val="none"/>
                <w:lang w:eastAsia="zh-CN"/>
              </w:rPr>
              <w:t>建筑可后退出人行步道、长廊或活动场地；</w:t>
            </w:r>
          </w:p>
          <w:p>
            <w:pPr>
              <w:pStyle w:val="46"/>
              <w:numPr>
                <w:ilvl w:val="0"/>
                <w:numId w:val="16"/>
              </w:numPr>
              <w:tabs>
                <w:tab w:val="left" w:pos="185"/>
              </w:tabs>
              <w:spacing w:line="240" w:lineRule="exact"/>
              <w:jc w:val="both"/>
              <w:rPr>
                <w:sz w:val="21"/>
                <w:highlight w:val="none"/>
                <w:lang w:eastAsia="zh-CN"/>
              </w:rPr>
            </w:pPr>
            <w:r>
              <w:rPr>
                <w:spacing w:val="-3"/>
                <w:sz w:val="21"/>
                <w:highlight w:val="none"/>
                <w:lang w:eastAsia="zh-CN"/>
              </w:rPr>
              <w:t>建筑可后退较大距离，形成通车道路；</w:t>
            </w:r>
          </w:p>
          <w:p>
            <w:pPr>
              <w:pStyle w:val="46"/>
              <w:numPr>
                <w:ilvl w:val="0"/>
                <w:numId w:val="16"/>
              </w:numPr>
              <w:tabs>
                <w:tab w:val="left" w:pos="185"/>
              </w:tabs>
              <w:spacing w:before="9" w:line="213" w:lineRule="auto"/>
              <w:ind w:left="25" w:right="15" w:firstLine="0"/>
              <w:jc w:val="both"/>
              <w:rPr>
                <w:sz w:val="21"/>
                <w:highlight w:val="none"/>
                <w:lang w:eastAsia="zh-CN"/>
              </w:rPr>
            </w:pPr>
            <w:r>
              <w:rPr>
                <w:spacing w:val="-11"/>
                <w:sz w:val="21"/>
                <w:highlight w:val="none"/>
                <w:lang w:eastAsia="zh-CN"/>
              </w:rPr>
              <w:t>堤围较高大的河段，建筑应与堤坝保持一定</w:t>
            </w:r>
            <w:r>
              <w:rPr>
                <w:spacing w:val="-6"/>
                <w:sz w:val="21"/>
                <w:highlight w:val="none"/>
                <w:lang w:eastAsia="zh-CN"/>
              </w:rPr>
              <w:t>的距离，可密植树木遮挡建筑；</w:t>
            </w:r>
          </w:p>
          <w:p>
            <w:pPr>
              <w:pStyle w:val="46"/>
              <w:numPr>
                <w:ilvl w:val="0"/>
                <w:numId w:val="16"/>
              </w:numPr>
              <w:tabs>
                <w:tab w:val="left" w:pos="185"/>
              </w:tabs>
              <w:spacing w:before="1" w:line="213" w:lineRule="auto"/>
              <w:ind w:left="25" w:right="16" w:firstLine="0"/>
              <w:jc w:val="both"/>
              <w:rPr>
                <w:sz w:val="21"/>
                <w:highlight w:val="none"/>
                <w:lang w:eastAsia="zh-CN"/>
              </w:rPr>
            </w:pPr>
            <w:r>
              <w:rPr>
                <w:spacing w:val="-8"/>
                <w:sz w:val="21"/>
                <w:highlight w:val="none"/>
                <w:lang w:eastAsia="zh-CN"/>
              </w:rPr>
              <w:t>建筑退让出较大距离</w:t>
            </w:r>
            <w:r>
              <w:rPr>
                <w:sz w:val="21"/>
                <w:highlight w:val="none"/>
                <w:lang w:eastAsia="zh-CN"/>
              </w:rPr>
              <w:t>（</w:t>
            </w:r>
            <w:r>
              <w:rPr>
                <w:rFonts w:ascii="Times New Roman" w:eastAsia="Times New Roman"/>
                <w:sz w:val="21"/>
                <w:highlight w:val="none"/>
                <w:lang w:eastAsia="zh-CN"/>
              </w:rPr>
              <w:t>50</w:t>
            </w:r>
            <w:r>
              <w:rPr>
                <w:spacing w:val="-3"/>
                <w:sz w:val="21"/>
                <w:highlight w:val="none"/>
                <w:lang w:eastAsia="zh-CN"/>
              </w:rPr>
              <w:t>米以上</w:t>
            </w:r>
            <w:r>
              <w:rPr>
                <w:spacing w:val="-43"/>
                <w:sz w:val="21"/>
                <w:highlight w:val="none"/>
                <w:lang w:eastAsia="zh-CN"/>
              </w:rPr>
              <w:t>）</w:t>
            </w:r>
            <w:r>
              <w:rPr>
                <w:spacing w:val="-12"/>
                <w:sz w:val="21"/>
                <w:highlight w:val="none"/>
                <w:lang w:eastAsia="zh-CN"/>
              </w:rPr>
              <w:t>，临水形</w:t>
            </w:r>
            <w:r>
              <w:rPr>
                <w:spacing w:val="-6"/>
                <w:sz w:val="21"/>
                <w:highlight w:val="none"/>
                <w:lang w:eastAsia="zh-CN"/>
              </w:rPr>
              <w:t>成大片护岸林带或滨水公共绿地。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jc w:val="center"/>
        </w:trPr>
        <w:tc>
          <w:tcPr>
            <w:tcW w:w="1338" w:type="dxa"/>
            <w:gridSpan w:val="2"/>
            <w:vAlign w:val="center"/>
          </w:tcPr>
          <w:p>
            <w:pPr>
              <w:pStyle w:val="46"/>
              <w:spacing w:before="130"/>
              <w:ind w:left="35"/>
              <w:jc w:val="both"/>
              <w:rPr>
                <w:sz w:val="21"/>
                <w:highlight w:val="none"/>
              </w:rPr>
            </w:pPr>
            <w:r>
              <w:rPr>
                <w:sz w:val="21"/>
                <w:highlight w:val="none"/>
              </w:rPr>
              <w:t>建筑高度控制</w:t>
            </w:r>
          </w:p>
        </w:tc>
        <w:tc>
          <w:tcPr>
            <w:tcW w:w="2230" w:type="dxa"/>
            <w:vAlign w:val="center"/>
          </w:tcPr>
          <w:p>
            <w:pPr>
              <w:pStyle w:val="46"/>
              <w:spacing w:before="10" w:line="255" w:lineRule="exact"/>
              <w:ind w:left="27" w:right="-44"/>
              <w:jc w:val="both"/>
              <w:rPr>
                <w:sz w:val="21"/>
                <w:highlight w:val="none"/>
              </w:rPr>
            </w:pPr>
            <w:r>
              <w:rPr>
                <w:rFonts w:ascii="Times New Roman" w:hAnsi="Times New Roman" w:eastAsia="Times New Roman"/>
                <w:sz w:val="21"/>
                <w:highlight w:val="none"/>
              </w:rPr>
              <w:t>H</w:t>
            </w:r>
            <w:r>
              <w:rPr>
                <w:sz w:val="21"/>
                <w:highlight w:val="none"/>
              </w:rPr>
              <w:t>：</w:t>
            </w:r>
            <w:r>
              <w:rPr>
                <w:rFonts w:ascii="Times New Roman" w:hAnsi="Times New Roman" w:eastAsia="Times New Roman"/>
                <w:sz w:val="21"/>
                <w:highlight w:val="none"/>
              </w:rPr>
              <w:t>L=2</w:t>
            </w:r>
            <w:r>
              <w:rPr>
                <w:spacing w:val="-18"/>
                <w:sz w:val="21"/>
                <w:highlight w:val="none"/>
              </w:rPr>
              <w:t>，且</w:t>
            </w:r>
            <w:r>
              <w:rPr>
                <w:rFonts w:ascii="Times New Roman" w:hAnsi="Times New Roman" w:eastAsia="Times New Roman"/>
                <w:sz w:val="21"/>
                <w:highlight w:val="none"/>
              </w:rPr>
              <w:t>H</w:t>
            </w:r>
            <w:r>
              <w:rPr>
                <w:sz w:val="21"/>
                <w:highlight w:val="none"/>
              </w:rPr>
              <w:t>≤</w:t>
            </w:r>
            <w:r>
              <w:rPr>
                <w:rFonts w:ascii="Times New Roman" w:hAnsi="Times New Roman" w:eastAsia="Times New Roman"/>
                <w:sz w:val="21"/>
                <w:highlight w:val="none"/>
              </w:rPr>
              <w:t>12</w:t>
            </w:r>
            <w:r>
              <w:rPr>
                <w:spacing w:val="-3"/>
                <w:sz w:val="21"/>
                <w:highlight w:val="none"/>
              </w:rPr>
              <w:t>米，</w:t>
            </w:r>
          </w:p>
          <w:p>
            <w:pPr>
              <w:pStyle w:val="46"/>
              <w:spacing w:line="250" w:lineRule="exact"/>
              <w:ind w:left="27"/>
              <w:jc w:val="both"/>
              <w:rPr>
                <w:sz w:val="21"/>
                <w:highlight w:val="none"/>
              </w:rPr>
            </w:pPr>
            <w:r>
              <w:rPr>
                <w:rFonts w:ascii="Times New Roman" w:hAnsi="Times New Roman" w:eastAsia="Times New Roman"/>
                <w:sz w:val="21"/>
                <w:highlight w:val="none"/>
              </w:rPr>
              <w:t>L</w:t>
            </w:r>
            <w:r>
              <w:rPr>
                <w:sz w:val="21"/>
                <w:highlight w:val="none"/>
              </w:rPr>
              <w:t>≥</w:t>
            </w:r>
            <w:r>
              <w:rPr>
                <w:rFonts w:ascii="Times New Roman" w:hAnsi="Times New Roman" w:eastAsia="Times New Roman"/>
                <w:sz w:val="21"/>
                <w:highlight w:val="none"/>
              </w:rPr>
              <w:t>6</w:t>
            </w:r>
            <w:r>
              <w:rPr>
                <w:sz w:val="21"/>
                <w:highlight w:val="none"/>
              </w:rPr>
              <w:t>米</w:t>
            </w:r>
          </w:p>
        </w:tc>
        <w:tc>
          <w:tcPr>
            <w:tcW w:w="2038" w:type="dxa"/>
            <w:tcBorders>
              <w:right w:val="single" w:color="000000" w:sz="6" w:space="0"/>
            </w:tcBorders>
            <w:vAlign w:val="center"/>
          </w:tcPr>
          <w:p>
            <w:pPr>
              <w:pStyle w:val="46"/>
              <w:spacing w:before="10" w:line="255" w:lineRule="exact"/>
              <w:ind w:left="28"/>
              <w:jc w:val="both"/>
              <w:rPr>
                <w:rFonts w:ascii="Times New Roman" w:hAnsi="Times New Roman" w:eastAsia="Times New Roman"/>
                <w:sz w:val="21"/>
                <w:highlight w:val="none"/>
              </w:rPr>
            </w:pPr>
            <w:r>
              <w:rPr>
                <w:rFonts w:ascii="Times New Roman" w:hAnsi="Times New Roman" w:eastAsia="Times New Roman"/>
                <w:sz w:val="21"/>
                <w:highlight w:val="none"/>
              </w:rPr>
              <w:t>H</w:t>
            </w:r>
            <w:r>
              <w:rPr>
                <w:sz w:val="21"/>
                <w:highlight w:val="none"/>
              </w:rPr>
              <w:t>：</w:t>
            </w:r>
            <w:r>
              <w:rPr>
                <w:rFonts w:ascii="Times New Roman" w:hAnsi="Times New Roman" w:eastAsia="Times New Roman"/>
                <w:sz w:val="21"/>
                <w:highlight w:val="none"/>
              </w:rPr>
              <w:t>L=3</w:t>
            </w:r>
            <w:r>
              <w:rPr>
                <w:rFonts w:hint="eastAsia" w:ascii="Times New Roman" w:hAnsi="Times New Roman" w:eastAsia="宋体"/>
                <w:sz w:val="21"/>
                <w:highlight w:val="none"/>
                <w:lang w:eastAsia="zh-CN"/>
              </w:rPr>
              <w:t>-</w:t>
            </w:r>
            <w:r>
              <w:rPr>
                <w:rFonts w:ascii="Times New Roman" w:hAnsi="Times New Roman" w:eastAsia="Times New Roman"/>
                <w:sz w:val="21"/>
                <w:highlight w:val="none"/>
              </w:rPr>
              <w:t>4</w:t>
            </w:r>
            <w:r>
              <w:rPr>
                <w:sz w:val="21"/>
                <w:highlight w:val="none"/>
              </w:rPr>
              <w:t>，且</w:t>
            </w:r>
            <w:r>
              <w:rPr>
                <w:rFonts w:ascii="Times New Roman" w:hAnsi="Times New Roman" w:eastAsia="Times New Roman"/>
                <w:sz w:val="21"/>
                <w:highlight w:val="none"/>
              </w:rPr>
              <w:t>H</w:t>
            </w:r>
            <w:r>
              <w:rPr>
                <w:sz w:val="21"/>
                <w:highlight w:val="none"/>
              </w:rPr>
              <w:t>≤</w:t>
            </w:r>
            <w:r>
              <w:rPr>
                <w:rFonts w:ascii="Times New Roman" w:hAnsi="Times New Roman" w:eastAsia="Times New Roman"/>
                <w:sz w:val="21"/>
                <w:highlight w:val="none"/>
              </w:rPr>
              <w:t>24</w:t>
            </w:r>
          </w:p>
          <w:p>
            <w:pPr>
              <w:pStyle w:val="46"/>
              <w:spacing w:line="250" w:lineRule="exact"/>
              <w:ind w:left="28"/>
              <w:jc w:val="both"/>
              <w:rPr>
                <w:sz w:val="21"/>
                <w:highlight w:val="none"/>
              </w:rPr>
            </w:pPr>
            <w:r>
              <w:rPr>
                <w:sz w:val="21"/>
                <w:highlight w:val="none"/>
              </w:rPr>
              <w:t>米，</w:t>
            </w:r>
            <w:r>
              <w:rPr>
                <w:rFonts w:ascii="Times New Roman" w:hAnsi="Times New Roman" w:eastAsia="Times New Roman"/>
                <w:sz w:val="21"/>
                <w:highlight w:val="none"/>
              </w:rPr>
              <w:t>L</w:t>
            </w:r>
            <w:r>
              <w:rPr>
                <w:sz w:val="21"/>
                <w:highlight w:val="none"/>
              </w:rPr>
              <w:t>≥</w:t>
            </w:r>
            <w:r>
              <w:rPr>
                <w:rFonts w:ascii="Times New Roman" w:hAnsi="Times New Roman" w:eastAsia="Times New Roman"/>
                <w:sz w:val="21"/>
                <w:highlight w:val="none"/>
              </w:rPr>
              <w:t>10</w:t>
            </w:r>
            <w:r>
              <w:rPr>
                <w:sz w:val="21"/>
                <w:highlight w:val="none"/>
              </w:rPr>
              <w:t>米</w:t>
            </w:r>
          </w:p>
        </w:tc>
        <w:tc>
          <w:tcPr>
            <w:tcW w:w="4134" w:type="dxa"/>
            <w:tcBorders>
              <w:left w:val="single" w:color="000000" w:sz="6" w:space="0"/>
            </w:tcBorders>
            <w:vAlign w:val="center"/>
          </w:tcPr>
          <w:p>
            <w:pPr>
              <w:pStyle w:val="46"/>
              <w:spacing w:before="130"/>
              <w:ind w:left="25"/>
              <w:jc w:val="both"/>
              <w:rPr>
                <w:sz w:val="21"/>
                <w:highlight w:val="none"/>
              </w:rPr>
            </w:pPr>
            <w:r>
              <w:rPr>
                <w:rFonts w:ascii="Times New Roman" w:hAnsi="Times New Roman" w:eastAsia="Times New Roman"/>
                <w:sz w:val="21"/>
                <w:highlight w:val="none"/>
              </w:rPr>
              <w:t>H</w:t>
            </w:r>
            <w:r>
              <w:rPr>
                <w:sz w:val="21"/>
                <w:highlight w:val="none"/>
              </w:rPr>
              <w:t>：</w:t>
            </w:r>
            <w:r>
              <w:rPr>
                <w:rFonts w:ascii="Times New Roman" w:hAnsi="Times New Roman" w:eastAsia="Times New Roman"/>
                <w:sz w:val="21"/>
                <w:highlight w:val="none"/>
              </w:rPr>
              <w:t>L</w:t>
            </w:r>
            <w:r>
              <w:rPr>
                <w:sz w:val="21"/>
                <w:highlight w:val="none"/>
              </w:rPr>
              <w:t>≤</w:t>
            </w:r>
            <w:r>
              <w:rPr>
                <w:rFonts w:ascii="Times New Roman" w:hAnsi="Times New Roman" w:eastAsia="Times New Roman"/>
                <w:sz w:val="21"/>
                <w:highlight w:val="none"/>
              </w:rPr>
              <w:t>3</w:t>
            </w:r>
            <w:r>
              <w:rPr>
                <w:sz w:val="21"/>
                <w:highlight w:val="none"/>
              </w:rPr>
              <w:t>，且</w:t>
            </w:r>
            <w:r>
              <w:rPr>
                <w:rFonts w:ascii="Times New Roman" w:hAnsi="Times New Roman" w:eastAsia="Times New Roman"/>
                <w:sz w:val="21"/>
                <w:highlight w:val="none"/>
              </w:rPr>
              <w:t>L</w:t>
            </w:r>
            <w:r>
              <w:rPr>
                <w:sz w:val="21"/>
                <w:highlight w:val="none"/>
              </w:rPr>
              <w:t>≥</w:t>
            </w:r>
            <w:r>
              <w:rPr>
                <w:rFonts w:ascii="Times New Roman" w:hAnsi="Times New Roman" w:eastAsia="Times New Roman"/>
                <w:sz w:val="21"/>
                <w:highlight w:val="none"/>
              </w:rPr>
              <w:t>11</w:t>
            </w:r>
            <w:r>
              <w:rPr>
                <w:sz w:val="21"/>
                <w:highlight w:val="none"/>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17" w:hRule="atLeast"/>
          <w:jc w:val="center"/>
        </w:trPr>
        <w:tc>
          <w:tcPr>
            <w:tcW w:w="343" w:type="dxa"/>
            <w:vMerge w:val="restart"/>
            <w:vAlign w:val="center"/>
          </w:tcPr>
          <w:p>
            <w:pPr>
              <w:pStyle w:val="46"/>
              <w:spacing w:line="213" w:lineRule="auto"/>
              <w:ind w:left="67" w:right="53"/>
              <w:jc w:val="both"/>
              <w:rPr>
                <w:sz w:val="21"/>
                <w:highlight w:val="none"/>
              </w:rPr>
            </w:pPr>
            <w:r>
              <w:rPr>
                <w:sz w:val="21"/>
                <w:highlight w:val="none"/>
              </w:rPr>
              <w:t>建筑设计</w:t>
            </w:r>
          </w:p>
        </w:tc>
        <w:tc>
          <w:tcPr>
            <w:tcW w:w="995" w:type="dxa"/>
            <w:vAlign w:val="center"/>
          </w:tcPr>
          <w:p>
            <w:pPr>
              <w:pStyle w:val="46"/>
              <w:spacing w:line="213" w:lineRule="auto"/>
              <w:ind w:left="280" w:right="60" w:hanging="209"/>
              <w:jc w:val="both"/>
              <w:rPr>
                <w:sz w:val="21"/>
                <w:highlight w:val="none"/>
              </w:rPr>
            </w:pPr>
            <w:r>
              <w:rPr>
                <w:sz w:val="21"/>
                <w:highlight w:val="none"/>
              </w:rPr>
              <w:t>建筑立面</w:t>
            </w:r>
          </w:p>
        </w:tc>
        <w:tc>
          <w:tcPr>
            <w:tcW w:w="8402" w:type="dxa"/>
            <w:gridSpan w:val="3"/>
            <w:vAlign w:val="center"/>
          </w:tcPr>
          <w:p>
            <w:pPr>
              <w:pStyle w:val="46"/>
              <w:numPr>
                <w:ilvl w:val="0"/>
                <w:numId w:val="17"/>
              </w:numPr>
              <w:tabs>
                <w:tab w:val="left" w:pos="188"/>
              </w:tabs>
              <w:spacing w:before="33" w:line="213" w:lineRule="auto"/>
              <w:ind w:left="27" w:right="13" w:firstLine="0"/>
              <w:jc w:val="both"/>
              <w:rPr>
                <w:sz w:val="21"/>
                <w:highlight w:val="none"/>
                <w:lang w:eastAsia="zh-CN"/>
              </w:rPr>
            </w:pPr>
            <w:r>
              <w:rPr>
                <w:spacing w:val="-3"/>
                <w:sz w:val="21"/>
                <w:highlight w:val="none"/>
                <w:lang w:eastAsia="zh-CN"/>
              </w:rPr>
              <w:t>紧邻河流的建筑，宜把主要立面面向河流，或对该立面进行重点设计，不宜设置空调外机等影响建筑立面的附着物，确需设置的必须结合立面造型隐蔽处理；</w:t>
            </w:r>
          </w:p>
          <w:p>
            <w:pPr>
              <w:pStyle w:val="46"/>
              <w:numPr>
                <w:ilvl w:val="0"/>
                <w:numId w:val="17"/>
              </w:numPr>
              <w:tabs>
                <w:tab w:val="left" w:pos="188"/>
              </w:tabs>
              <w:spacing w:line="233" w:lineRule="exact"/>
              <w:ind w:left="187" w:hanging="161"/>
              <w:jc w:val="both"/>
              <w:rPr>
                <w:sz w:val="21"/>
                <w:highlight w:val="none"/>
                <w:lang w:eastAsia="zh-CN"/>
              </w:rPr>
            </w:pPr>
            <w:r>
              <w:rPr>
                <w:spacing w:val="-3"/>
                <w:sz w:val="21"/>
                <w:highlight w:val="none"/>
                <w:lang w:eastAsia="zh-CN"/>
              </w:rPr>
              <w:t>重点区域滨水建筑，形式应进行统一规划设计，使沿河立面协调统一；</w:t>
            </w:r>
          </w:p>
          <w:p>
            <w:pPr>
              <w:pStyle w:val="46"/>
              <w:numPr>
                <w:ilvl w:val="0"/>
                <w:numId w:val="17"/>
              </w:numPr>
              <w:tabs>
                <w:tab w:val="left" w:pos="188"/>
              </w:tabs>
              <w:spacing w:line="252" w:lineRule="exact"/>
              <w:ind w:left="187" w:hanging="161"/>
              <w:jc w:val="both"/>
              <w:rPr>
                <w:sz w:val="21"/>
                <w:highlight w:val="none"/>
                <w:lang w:eastAsia="zh-CN"/>
              </w:rPr>
            </w:pPr>
            <w:r>
              <w:rPr>
                <w:spacing w:val="-3"/>
                <w:sz w:val="21"/>
                <w:highlight w:val="none"/>
                <w:lang w:eastAsia="zh-CN"/>
              </w:rPr>
              <w:t>控制沿河立面连续长度，减少河流空间的封闭感。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jc w:val="center"/>
        </w:trPr>
        <w:tc>
          <w:tcPr>
            <w:tcW w:w="343" w:type="dxa"/>
            <w:vMerge w:val="continue"/>
            <w:tcBorders>
              <w:top w:val="nil"/>
            </w:tcBorders>
            <w:vAlign w:val="center"/>
          </w:tcPr>
          <w:p>
            <w:pPr>
              <w:jc w:val="both"/>
              <w:rPr>
                <w:sz w:val="2"/>
                <w:szCs w:val="2"/>
                <w:highlight w:val="none"/>
                <w:lang w:eastAsia="zh-CN"/>
              </w:rPr>
            </w:pPr>
          </w:p>
        </w:tc>
        <w:tc>
          <w:tcPr>
            <w:tcW w:w="995" w:type="dxa"/>
            <w:vAlign w:val="center"/>
          </w:tcPr>
          <w:p>
            <w:pPr>
              <w:pStyle w:val="46"/>
              <w:spacing w:before="33" w:line="213" w:lineRule="auto"/>
              <w:ind w:left="280" w:right="60" w:hanging="209"/>
              <w:jc w:val="both"/>
              <w:rPr>
                <w:sz w:val="21"/>
                <w:highlight w:val="none"/>
              </w:rPr>
            </w:pPr>
            <w:r>
              <w:rPr>
                <w:sz w:val="21"/>
                <w:highlight w:val="none"/>
              </w:rPr>
              <w:t>建筑色彩</w:t>
            </w:r>
          </w:p>
        </w:tc>
        <w:tc>
          <w:tcPr>
            <w:tcW w:w="8402" w:type="dxa"/>
            <w:gridSpan w:val="3"/>
            <w:vAlign w:val="center"/>
          </w:tcPr>
          <w:p>
            <w:pPr>
              <w:pStyle w:val="46"/>
              <w:numPr>
                <w:ilvl w:val="0"/>
                <w:numId w:val="18"/>
              </w:numPr>
              <w:tabs>
                <w:tab w:val="left" w:pos="188"/>
              </w:tabs>
              <w:spacing w:before="10" w:line="255" w:lineRule="exact"/>
              <w:ind w:hanging="161"/>
              <w:jc w:val="both"/>
              <w:rPr>
                <w:sz w:val="21"/>
                <w:highlight w:val="none"/>
              </w:rPr>
            </w:pPr>
            <w:r>
              <w:rPr>
                <w:spacing w:val="-3"/>
                <w:sz w:val="21"/>
                <w:highlight w:val="none"/>
              </w:rPr>
              <w:t>应与周边环境相协调；</w:t>
            </w:r>
          </w:p>
          <w:p>
            <w:pPr>
              <w:pStyle w:val="46"/>
              <w:numPr>
                <w:ilvl w:val="0"/>
                <w:numId w:val="18"/>
              </w:numPr>
              <w:tabs>
                <w:tab w:val="left" w:pos="188"/>
              </w:tabs>
              <w:spacing w:line="250" w:lineRule="exact"/>
              <w:ind w:hanging="161"/>
              <w:jc w:val="both"/>
              <w:rPr>
                <w:sz w:val="21"/>
                <w:highlight w:val="none"/>
                <w:lang w:eastAsia="zh-CN"/>
              </w:rPr>
            </w:pPr>
            <w:r>
              <w:rPr>
                <w:spacing w:val="-3"/>
                <w:sz w:val="21"/>
                <w:highlight w:val="none"/>
                <w:lang w:eastAsia="zh-CN"/>
              </w:rPr>
              <w:t>宜体现地方文化特色。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77" w:hRule="atLeast"/>
          <w:jc w:val="center"/>
        </w:trPr>
        <w:tc>
          <w:tcPr>
            <w:tcW w:w="343" w:type="dxa"/>
            <w:vMerge w:val="continue"/>
            <w:tcBorders>
              <w:top w:val="nil"/>
            </w:tcBorders>
            <w:vAlign w:val="center"/>
          </w:tcPr>
          <w:p>
            <w:pPr>
              <w:jc w:val="both"/>
              <w:rPr>
                <w:sz w:val="2"/>
                <w:szCs w:val="2"/>
                <w:highlight w:val="none"/>
                <w:lang w:eastAsia="zh-CN"/>
              </w:rPr>
            </w:pPr>
          </w:p>
        </w:tc>
        <w:tc>
          <w:tcPr>
            <w:tcW w:w="995" w:type="dxa"/>
            <w:vAlign w:val="center"/>
          </w:tcPr>
          <w:p>
            <w:pPr>
              <w:pStyle w:val="46"/>
              <w:spacing w:line="213" w:lineRule="auto"/>
              <w:ind w:left="280" w:right="60" w:hanging="209"/>
              <w:jc w:val="both"/>
              <w:rPr>
                <w:sz w:val="21"/>
                <w:highlight w:val="none"/>
              </w:rPr>
            </w:pPr>
            <w:r>
              <w:rPr>
                <w:sz w:val="21"/>
                <w:highlight w:val="none"/>
              </w:rPr>
              <w:t>建筑功能</w:t>
            </w:r>
          </w:p>
        </w:tc>
        <w:tc>
          <w:tcPr>
            <w:tcW w:w="8402" w:type="dxa"/>
            <w:gridSpan w:val="3"/>
            <w:vAlign w:val="center"/>
          </w:tcPr>
          <w:p>
            <w:pPr>
              <w:pStyle w:val="46"/>
              <w:numPr>
                <w:ilvl w:val="0"/>
                <w:numId w:val="19"/>
              </w:numPr>
              <w:tabs>
                <w:tab w:val="left" w:pos="188"/>
              </w:tabs>
              <w:spacing w:before="33" w:line="213" w:lineRule="auto"/>
              <w:ind w:left="27" w:right="13" w:firstLine="0"/>
              <w:jc w:val="both"/>
              <w:rPr>
                <w:sz w:val="21"/>
                <w:highlight w:val="none"/>
                <w:lang w:eastAsia="zh-CN"/>
              </w:rPr>
            </w:pPr>
            <w:r>
              <w:rPr>
                <w:spacing w:val="-3"/>
                <w:sz w:val="21"/>
                <w:highlight w:val="none"/>
                <w:lang w:eastAsia="zh-CN"/>
              </w:rPr>
              <w:t>沿水建筑以满足公共服务、居住、商业、旅游、休憩、办公等功能为主，市郊可局部布置无污染工业建筑；</w:t>
            </w:r>
          </w:p>
          <w:p>
            <w:pPr>
              <w:pStyle w:val="46"/>
              <w:numPr>
                <w:ilvl w:val="0"/>
                <w:numId w:val="19"/>
              </w:numPr>
              <w:tabs>
                <w:tab w:val="left" w:pos="188"/>
              </w:tabs>
              <w:spacing w:before="1" w:line="213" w:lineRule="auto"/>
              <w:ind w:left="27" w:right="13" w:firstLine="0"/>
              <w:jc w:val="both"/>
              <w:rPr>
                <w:sz w:val="21"/>
                <w:highlight w:val="none"/>
                <w:lang w:eastAsia="zh-CN"/>
              </w:rPr>
            </w:pPr>
            <w:r>
              <w:rPr>
                <w:spacing w:val="-3"/>
                <w:sz w:val="21"/>
                <w:highlight w:val="none"/>
                <w:lang w:eastAsia="zh-CN"/>
              </w:rPr>
              <w:t>不宜直接临水设置餐饮建筑，如需设置时必须有严格、完善的排污设施，并有防止向河中扔垃圾的措施；</w:t>
            </w:r>
          </w:p>
          <w:p>
            <w:pPr>
              <w:pStyle w:val="46"/>
              <w:numPr>
                <w:ilvl w:val="0"/>
                <w:numId w:val="19"/>
              </w:numPr>
              <w:tabs>
                <w:tab w:val="left" w:pos="188"/>
              </w:tabs>
              <w:spacing w:before="2" w:line="213" w:lineRule="auto"/>
              <w:ind w:left="27" w:right="13" w:firstLine="0"/>
              <w:jc w:val="both"/>
              <w:rPr>
                <w:sz w:val="21"/>
                <w:highlight w:val="none"/>
                <w:lang w:eastAsia="zh-CN"/>
              </w:rPr>
            </w:pPr>
            <w:r>
              <w:rPr>
                <w:spacing w:val="-3"/>
                <w:sz w:val="21"/>
                <w:highlight w:val="none"/>
                <w:lang w:eastAsia="zh-CN"/>
              </w:rPr>
              <w:t>沿水建筑可采用底层架空或部分架空（</w:t>
            </w:r>
            <w:r>
              <w:rPr>
                <w:spacing w:val="-2"/>
                <w:sz w:val="21"/>
                <w:highlight w:val="none"/>
                <w:lang w:eastAsia="zh-CN"/>
              </w:rPr>
              <w:t>骑楼</w:t>
            </w:r>
            <w:r>
              <w:rPr>
                <w:sz w:val="21"/>
                <w:highlight w:val="none"/>
                <w:lang w:eastAsia="zh-CN"/>
              </w:rPr>
              <w:t>）</w:t>
            </w:r>
            <w:r>
              <w:rPr>
                <w:spacing w:val="-3"/>
                <w:sz w:val="21"/>
                <w:highlight w:val="none"/>
                <w:lang w:eastAsia="zh-CN"/>
              </w:rPr>
              <w:t>的做法，使建筑首层成为公共活动空间的组成部分，并为沿水步行道提供遮风、遮阳、挡雨的功能；</w:t>
            </w:r>
          </w:p>
          <w:p>
            <w:pPr>
              <w:pStyle w:val="46"/>
              <w:numPr>
                <w:ilvl w:val="0"/>
                <w:numId w:val="19"/>
              </w:numPr>
              <w:tabs>
                <w:tab w:val="left" w:pos="188"/>
              </w:tabs>
              <w:spacing w:line="233" w:lineRule="exact"/>
              <w:ind w:left="187" w:hanging="161"/>
              <w:jc w:val="both"/>
              <w:rPr>
                <w:sz w:val="21"/>
                <w:highlight w:val="none"/>
                <w:lang w:eastAsia="zh-CN"/>
              </w:rPr>
            </w:pPr>
            <w:r>
              <w:rPr>
                <w:spacing w:val="-3"/>
                <w:sz w:val="21"/>
                <w:highlight w:val="none"/>
                <w:lang w:eastAsia="zh-CN"/>
              </w:rPr>
              <w:t>保存</w:t>
            </w:r>
            <w:r>
              <w:rPr>
                <w:rFonts w:hint="eastAsia"/>
                <w:spacing w:val="-3"/>
                <w:sz w:val="21"/>
                <w:highlight w:val="none"/>
                <w:lang w:eastAsia="zh-CN"/>
              </w:rPr>
              <w:t>具有</w:t>
            </w:r>
            <w:r>
              <w:rPr>
                <w:spacing w:val="-3"/>
                <w:sz w:val="21"/>
                <w:highlight w:val="none"/>
                <w:lang w:eastAsia="zh-CN"/>
              </w:rPr>
              <w:t>历史意义、建筑特色及文化价值的建筑物，使柳州的文化和历史得以流传；</w:t>
            </w:r>
          </w:p>
          <w:p>
            <w:pPr>
              <w:pStyle w:val="46"/>
              <w:numPr>
                <w:ilvl w:val="0"/>
                <w:numId w:val="19"/>
              </w:numPr>
              <w:tabs>
                <w:tab w:val="left" w:pos="188"/>
              </w:tabs>
              <w:spacing w:line="252" w:lineRule="exact"/>
              <w:ind w:left="187" w:hanging="161"/>
              <w:jc w:val="both"/>
              <w:rPr>
                <w:sz w:val="21"/>
                <w:highlight w:val="none"/>
                <w:lang w:eastAsia="zh-CN"/>
              </w:rPr>
            </w:pPr>
            <w:r>
              <w:rPr>
                <w:spacing w:val="-3"/>
                <w:sz w:val="21"/>
                <w:highlight w:val="none"/>
                <w:lang w:eastAsia="zh-CN"/>
              </w:rPr>
              <w:t>建议竖立别具特色的构筑物，既可帮助游人辨别方向，也可作为该地点的地标。</w:t>
            </w:r>
          </w:p>
        </w:tc>
      </w:tr>
    </w:tbl>
    <w:p>
      <w:pPr>
        <w:spacing w:before="56" w:line="341" w:lineRule="auto"/>
        <w:ind w:left="102"/>
        <w:jc w:val="both"/>
        <w:rPr>
          <w:sz w:val="21"/>
          <w:highlight w:val="none"/>
          <w:lang w:eastAsia="zh-CN"/>
        </w:rPr>
      </w:pPr>
      <w:r>
        <w:rPr>
          <w:sz w:val="21"/>
          <w:highlight w:val="none"/>
          <w:lang w:eastAsia="zh-CN"/>
        </w:rPr>
        <w:t>注：表中</w:t>
      </w:r>
      <w:r>
        <w:rPr>
          <w:rFonts w:ascii="Times New Roman" w:eastAsia="Times New Roman"/>
          <w:sz w:val="21"/>
          <w:highlight w:val="none"/>
          <w:lang w:eastAsia="zh-CN"/>
        </w:rPr>
        <w:t>H</w:t>
      </w:r>
      <w:r>
        <w:rPr>
          <w:sz w:val="21"/>
          <w:highlight w:val="none"/>
          <w:lang w:eastAsia="zh-CN"/>
        </w:rPr>
        <w:t>为建筑临水面的高度；</w:t>
      </w:r>
      <w:r>
        <w:rPr>
          <w:rFonts w:ascii="Times New Roman" w:eastAsia="Times New Roman"/>
          <w:sz w:val="21"/>
          <w:highlight w:val="none"/>
          <w:lang w:eastAsia="zh-CN"/>
        </w:rPr>
        <w:t>L</w:t>
      </w:r>
      <w:r>
        <w:rPr>
          <w:sz w:val="21"/>
          <w:highlight w:val="none"/>
          <w:lang w:eastAsia="zh-CN"/>
        </w:rPr>
        <w:t>为建筑临水外墙面至堤岸顶外边缘的最小距离，如水利部门另有规定，以其规定为准。</w:t>
      </w:r>
    </w:p>
    <w:p>
      <w:pPr>
        <w:spacing w:line="340" w:lineRule="auto"/>
        <w:rPr>
          <w:sz w:val="21"/>
          <w:highlight w:val="none"/>
          <w:lang w:eastAsia="zh-CN"/>
        </w:rPr>
        <w:sectPr>
          <w:pgSz w:w="11910" w:h="16840"/>
          <w:pgMar w:top="1580" w:right="680" w:bottom="880" w:left="980" w:header="850" w:footer="992" w:gutter="0"/>
          <w:cols w:space="720" w:num="1"/>
        </w:sectPr>
      </w:pPr>
    </w:p>
    <w:p>
      <w:pPr>
        <w:pStyle w:val="2"/>
        <w:jc w:val="center"/>
        <w:rPr>
          <w:rFonts w:ascii="微软雅黑" w:hAnsi="微软雅黑" w:eastAsia="微软雅黑" w:cs="微软雅黑"/>
          <w:b/>
          <w:bCs/>
          <w:color w:val="auto"/>
          <w:sz w:val="32"/>
          <w:szCs w:val="32"/>
          <w:highlight w:val="none"/>
          <w:lang w:eastAsia="zh-CN"/>
        </w:rPr>
      </w:pPr>
      <w:bookmarkStart w:id="57" w:name="_bookmark43"/>
      <w:bookmarkEnd w:id="57"/>
      <w:bookmarkStart w:id="58" w:name="_Toc1221"/>
      <w:r>
        <w:rPr>
          <w:rFonts w:hint="eastAsia" w:ascii="微软雅黑" w:hAnsi="微软雅黑" w:eastAsia="微软雅黑" w:cs="微软雅黑"/>
          <w:b/>
          <w:bCs/>
          <w:color w:val="auto"/>
          <w:sz w:val="32"/>
          <w:szCs w:val="32"/>
          <w:highlight w:val="none"/>
          <w:lang w:eastAsia="zh-CN"/>
        </w:rPr>
        <w:t>附图</w:t>
      </w:r>
      <w:bookmarkEnd w:id="58"/>
    </w:p>
    <w:p>
      <w:pPr>
        <w:pStyle w:val="12"/>
        <w:spacing w:before="11"/>
        <w:ind w:left="0"/>
        <w:rPr>
          <w:rFonts w:ascii="微软雅黑"/>
          <w:b/>
          <w:sz w:val="20"/>
          <w:highlight w:val="none"/>
          <w:lang w:eastAsia="zh-CN"/>
        </w:rPr>
      </w:pPr>
    </w:p>
    <w:p>
      <w:pPr>
        <w:pStyle w:val="5"/>
        <w:keepNext w:val="0"/>
        <w:keepLines w:val="0"/>
        <w:spacing w:before="0" w:after="0" w:line="360" w:lineRule="auto"/>
        <w:ind w:left="110" w:leftChars="50" w:right="110" w:rightChars="50"/>
        <w:rPr>
          <w:highlight w:val="none"/>
          <w:lang w:eastAsia="zh-CN"/>
        </w:rPr>
      </w:pPr>
      <w:bookmarkStart w:id="59" w:name="_bookmark44"/>
      <w:bookmarkEnd w:id="59"/>
      <w:r>
        <w:rPr>
          <w:rFonts w:ascii="微软雅黑" w:hAnsi="微软雅黑" w:eastAsia="微软雅黑" w:cs="微软雅黑"/>
          <w:b/>
          <w:bCs/>
          <w:color w:val="auto"/>
          <w:sz w:val="30"/>
          <w:szCs w:val="30"/>
          <w:highlight w:val="none"/>
          <w:lang w:eastAsia="zh-CN"/>
        </w:rPr>
        <w:t xml:space="preserve">附图一 </w:t>
      </w:r>
      <w:r>
        <w:rPr>
          <w:rFonts w:hint="eastAsia" w:ascii="微软雅黑" w:hAnsi="微软雅黑" w:eastAsia="微软雅黑" w:cs="微软雅黑"/>
          <w:b/>
          <w:bCs/>
          <w:color w:val="auto"/>
          <w:sz w:val="30"/>
          <w:szCs w:val="30"/>
          <w:highlight w:val="none"/>
          <w:lang w:eastAsia="zh-CN"/>
        </w:rPr>
        <w:t>鱼峰区</w:t>
      </w:r>
      <w:r>
        <w:rPr>
          <w:rFonts w:ascii="微软雅黑" w:hAnsi="微软雅黑" w:eastAsia="微软雅黑" w:cs="微软雅黑"/>
          <w:b/>
          <w:bCs/>
          <w:color w:val="auto"/>
          <w:sz w:val="30"/>
          <w:szCs w:val="30"/>
          <w:highlight w:val="none"/>
          <w:lang w:eastAsia="zh-CN"/>
        </w:rPr>
        <w:t>村庄分类示图</w:t>
      </w:r>
      <w:bookmarkStart w:id="60" w:name="_bookmark45"/>
      <w:bookmarkEnd w:id="60"/>
    </w:p>
    <w:p>
      <w:pPr>
        <w:pStyle w:val="5"/>
        <w:keepNext w:val="0"/>
        <w:keepLines w:val="0"/>
        <w:spacing w:before="0" w:after="0" w:line="360" w:lineRule="auto"/>
        <w:ind w:left="110" w:leftChars="50" w:right="110" w:rightChars="50"/>
        <w:rPr>
          <w:rFonts w:ascii="微软雅黑" w:hAnsi="微软雅黑" w:eastAsia="微软雅黑" w:cs="微软雅黑"/>
          <w:b/>
          <w:bCs/>
          <w:color w:val="auto"/>
          <w:sz w:val="30"/>
          <w:szCs w:val="30"/>
          <w:highlight w:val="none"/>
          <w:lang w:eastAsia="zh-CN"/>
        </w:rPr>
        <w:sectPr>
          <w:pgSz w:w="11906" w:h="16838"/>
          <w:pgMar w:top="1440" w:right="1134" w:bottom="1440" w:left="1134" w:header="851" w:footer="992" w:gutter="0"/>
          <w:cols w:space="425" w:num="1"/>
          <w:docGrid w:type="lines" w:linePitch="312" w:charSpace="0"/>
        </w:sectPr>
      </w:pPr>
      <w:r>
        <w:rPr>
          <w:rFonts w:ascii="微软雅黑" w:hAnsi="微软雅黑" w:eastAsia="微软雅黑" w:cs="微软雅黑"/>
          <w:b/>
          <w:bCs/>
          <w:color w:val="auto"/>
          <w:sz w:val="30"/>
          <w:szCs w:val="30"/>
          <w:highlight w:val="none"/>
          <w:lang w:eastAsia="zh-CN"/>
        </w:rPr>
        <w:t xml:space="preserve">附图二 </w:t>
      </w:r>
      <w:r>
        <w:rPr>
          <w:rFonts w:hint="eastAsia" w:ascii="微软雅黑" w:hAnsi="微软雅黑" w:eastAsia="微软雅黑" w:cs="微软雅黑"/>
          <w:b/>
          <w:bCs/>
          <w:color w:val="auto"/>
          <w:sz w:val="30"/>
          <w:szCs w:val="30"/>
          <w:highlight w:val="none"/>
          <w:lang w:eastAsia="zh-CN"/>
        </w:rPr>
        <w:t>鱼峰区</w:t>
      </w:r>
      <w:r>
        <w:rPr>
          <w:rFonts w:ascii="微软雅黑" w:hAnsi="微软雅黑" w:eastAsia="微软雅黑" w:cs="微软雅黑"/>
          <w:b/>
          <w:bCs/>
          <w:color w:val="auto"/>
          <w:sz w:val="30"/>
          <w:szCs w:val="30"/>
          <w:highlight w:val="none"/>
          <w:lang w:eastAsia="zh-CN"/>
        </w:rPr>
        <w:t>乡村地区重点地块图</w:t>
      </w:r>
      <w:r>
        <w:rPr>
          <w:rFonts w:hint="eastAsia" w:ascii="微软雅黑" w:hAnsi="微软雅黑" w:eastAsia="微软雅黑" w:cs="微软雅黑"/>
          <w:b/>
          <w:bCs/>
          <w:color w:val="auto"/>
          <w:sz w:val="30"/>
          <w:szCs w:val="30"/>
          <w:highlight w:val="none"/>
          <w:lang w:eastAsia="zh-CN"/>
        </w:rPr>
        <w:t>详图</w:t>
      </w:r>
    </w:p>
    <w:p>
      <w:pPr>
        <w:rPr>
          <w:highlight w:val="none"/>
          <w:lang w:eastAsia="zh-CN"/>
        </w:rPr>
      </w:pPr>
      <w:r>
        <w:rPr>
          <w:rFonts w:hint="eastAsia"/>
          <w:highlight w:val="none"/>
          <w:lang w:eastAsia="zh-CN"/>
        </w:rPr>
        <w:t>附图</w:t>
      </w:r>
      <w:r>
        <w:rPr>
          <w:rFonts w:hint="eastAsia"/>
          <w:highlight w:val="none"/>
          <w:lang w:val="en-US" w:eastAsia="zh-CN"/>
        </w:rPr>
        <w:t>一</w:t>
      </w:r>
      <w:r>
        <w:rPr>
          <w:rFonts w:hint="eastAsia"/>
          <w:highlight w:val="none"/>
          <w:lang w:eastAsia="zh-CN"/>
        </w:rPr>
        <w:t xml:space="preserve">  鱼峰区村庄分类示图</w:t>
      </w:r>
    </w:p>
    <w:p>
      <w:pPr>
        <w:jc w:val="center"/>
        <w:rPr>
          <w:highlight w:val="none"/>
          <w:lang w:eastAsia="zh-CN"/>
        </w:rPr>
        <w:sectPr>
          <w:pgSz w:w="11906" w:h="16838"/>
          <w:pgMar w:top="1440" w:right="1134" w:bottom="1440" w:left="1134" w:header="851" w:footer="992" w:gutter="0"/>
          <w:cols w:space="425" w:num="1"/>
          <w:docGrid w:type="lines" w:linePitch="312" w:charSpace="0"/>
        </w:sectPr>
      </w:pPr>
      <w:r>
        <w:rPr>
          <w:highlight w:val="none"/>
          <w:lang w:eastAsia="zh-CN"/>
        </w:rPr>
        <w:drawing>
          <wp:inline distT="0" distB="0" distL="114300" distR="114300">
            <wp:extent cx="5931535" cy="8396605"/>
            <wp:effectExtent l="0" t="0" r="12065" b="4445"/>
            <wp:docPr id="11" name="图片 11" descr="G:/00-工作文件/村庄规划通则/鱼峰区/鱼峰图/村庄分类图1127.jpg村庄分类图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00-工作文件/村庄规划通则/鱼峰区/鱼峰图/村庄分类图1127.jpg村庄分类图1127"/>
                    <pic:cNvPicPr>
                      <a:picLocks noChangeAspect="1"/>
                    </pic:cNvPicPr>
                  </pic:nvPicPr>
                  <pic:blipFill>
                    <a:blip r:embed="rId9"/>
                    <a:srcRect l="4" r="4"/>
                    <a:stretch>
                      <a:fillRect/>
                    </a:stretch>
                  </pic:blipFill>
                  <pic:spPr>
                    <a:xfrm>
                      <a:off x="0" y="0"/>
                      <a:ext cx="5931535" cy="8396605"/>
                    </a:xfrm>
                    <a:prstGeom prst="rect">
                      <a:avLst/>
                    </a:prstGeom>
                  </pic:spPr>
                </pic:pic>
              </a:graphicData>
            </a:graphic>
          </wp:inline>
        </w:drawing>
      </w:r>
    </w:p>
    <w:p>
      <w:pPr>
        <w:jc w:val="both"/>
        <w:rPr>
          <w:highlight w:val="none"/>
          <w:lang w:eastAsia="zh-CN"/>
        </w:rPr>
      </w:pPr>
      <w:r>
        <w:rPr>
          <w:rFonts w:hint="eastAsia"/>
          <w:highlight w:val="none"/>
          <w:lang w:eastAsia="zh-CN"/>
        </w:rPr>
        <w:t>附图</w:t>
      </w:r>
      <w:r>
        <w:rPr>
          <w:rFonts w:hint="eastAsia"/>
          <w:highlight w:val="none"/>
          <w:lang w:val="en-US" w:eastAsia="zh-CN"/>
        </w:rPr>
        <w:t>二</w:t>
      </w:r>
      <w:r>
        <w:rPr>
          <w:rFonts w:hint="eastAsia"/>
          <w:highlight w:val="none"/>
          <w:lang w:eastAsia="zh-CN"/>
        </w:rPr>
        <w:t xml:space="preserve">  鱼峰区乡村地区重点地块图详图</w:t>
      </w:r>
    </w:p>
    <w:p>
      <w:pPr>
        <w:jc w:val="center"/>
        <w:rPr>
          <w:highlight w:val="none"/>
          <w:lang w:eastAsia="zh-CN"/>
        </w:rPr>
      </w:pPr>
      <w:r>
        <w:rPr>
          <w:highlight w:val="none"/>
          <w:lang w:eastAsia="zh-CN"/>
        </w:rPr>
        <w:drawing>
          <wp:inline distT="0" distB="0" distL="114300" distR="114300">
            <wp:extent cx="8097520" cy="5806440"/>
            <wp:effectExtent l="0" t="0" r="17780" b="3810"/>
            <wp:docPr id="1" name="图片 1" descr="鱼峰区-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鱼峰区-Model"/>
                    <pic:cNvPicPr>
                      <a:picLocks noChangeAspect="1"/>
                    </pic:cNvPicPr>
                  </pic:nvPicPr>
                  <pic:blipFill>
                    <a:blip r:embed="rId10"/>
                    <a:srcRect l="4609" t="3593" r="4271" b="3966"/>
                    <a:stretch>
                      <a:fillRect/>
                    </a:stretch>
                  </pic:blipFill>
                  <pic:spPr>
                    <a:xfrm>
                      <a:off x="0" y="0"/>
                      <a:ext cx="8097520" cy="5806440"/>
                    </a:xfrm>
                    <a:prstGeom prst="rect">
                      <a:avLst/>
                    </a:prstGeom>
                  </pic:spPr>
                </pic:pic>
              </a:graphicData>
            </a:graphic>
          </wp:inline>
        </w:drawing>
      </w:r>
    </w:p>
    <w:sectPr>
      <w:pgSz w:w="16838" w:h="11906" w:orient="landscape"/>
      <w:pgMar w:top="1134" w:right="1440" w:bottom="113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12"/>
      </w:rPr>
    </w:pPr>
  </w:p>
  <w:p>
    <w:pPr>
      <w:pStyle w:val="12"/>
      <w:spacing w:line="14" w:lineRule="auto"/>
      <w:ind w:left="0"/>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12"/>
      </w:rPr>
    </w:pPr>
    <w:r>
      <w:rPr>
        <w:sz w:val="1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rPr>
                              <w:rFonts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  \* MERGEFORMAT </w:instrText>
                          </w:r>
                          <w:r>
                            <w:rPr>
                              <w:rFonts w:hint="eastAsia" w:ascii="黑体" w:hAnsi="黑体" w:eastAsia="黑体" w:cs="黑体"/>
                              <w:sz w:val="24"/>
                              <w:szCs w:val="24"/>
                            </w:rPr>
                            <w:fldChar w:fldCharType="separate"/>
                          </w:r>
                          <w:r>
                            <w:rPr>
                              <w:rFonts w:ascii="黑体" w:hAnsi="黑体" w:eastAsia="黑体" w:cs="黑体"/>
                              <w:sz w:val="24"/>
                              <w:szCs w:val="24"/>
                            </w:rPr>
                            <w:t>44</w:t>
                          </w:r>
                          <w:r>
                            <w:rPr>
                              <w:rFonts w:hint="eastAsia" w:ascii="黑体" w:hAnsi="黑体" w:eastAsia="黑体" w:cs="黑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EuPA1MbAgAAIwQAAA4A&#10;AAAAAAAAAQAgAAAAHwEAAGRycy9lMm9Eb2MueG1sUEsFBgAAAAAGAAYAWQEAAKwFAAAAAA==&#10;">
              <v:fill on="f" focussize="0,0"/>
              <v:stroke on="f" weight="0.5pt"/>
              <v:imagedata o:title=""/>
              <o:lock v:ext="edit" aspectratio="f"/>
              <v:textbox inset="0mm,0mm,0mm,0mm" style="mso-fit-shape-to-text:t;">
                <w:txbxContent>
                  <w:p>
                    <w:pPr>
                      <w:pStyle w:val="15"/>
                      <w:rPr>
                        <w:rFonts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  \* MERGEFORMAT </w:instrText>
                    </w:r>
                    <w:r>
                      <w:rPr>
                        <w:rFonts w:hint="eastAsia" w:ascii="黑体" w:hAnsi="黑体" w:eastAsia="黑体" w:cs="黑体"/>
                        <w:sz w:val="24"/>
                        <w:szCs w:val="24"/>
                      </w:rPr>
                      <w:fldChar w:fldCharType="separate"/>
                    </w:r>
                    <w:r>
                      <w:rPr>
                        <w:rFonts w:ascii="黑体" w:hAnsi="黑体" w:eastAsia="黑体" w:cs="黑体"/>
                        <w:sz w:val="24"/>
                        <w:szCs w:val="24"/>
                      </w:rPr>
                      <w:t>44</w:t>
                    </w:r>
                    <w:r>
                      <w:rPr>
                        <w:rFonts w:hint="eastAsia" w:ascii="黑体" w:hAnsi="黑体" w:eastAsia="黑体" w:cs="黑体"/>
                        <w:sz w:val="24"/>
                        <w:szCs w:val="24"/>
                      </w:rPr>
                      <w:fldChar w:fldCharType="end"/>
                    </w:r>
                  </w:p>
                </w:txbxContent>
              </v:textbox>
            </v:shape>
          </w:pict>
        </mc:Fallback>
      </mc:AlternateContent>
    </w:r>
  </w:p>
  <w:p>
    <w:pPr>
      <w:pStyle w:val="12"/>
      <w:spacing w:line="14" w:lineRule="auto"/>
      <w:ind w:left="0"/>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5D924D"/>
    <w:multiLevelType w:val="singleLevel"/>
    <w:tmpl w:val="855D924D"/>
    <w:lvl w:ilvl="0" w:tentative="0">
      <w:start w:val="1"/>
      <w:numFmt w:val="chineseCounting"/>
      <w:suff w:val="nothing"/>
      <w:lvlText w:val="（%1）"/>
      <w:lvlJc w:val="left"/>
      <w:rPr>
        <w:rFonts w:hint="eastAsia"/>
      </w:rPr>
    </w:lvl>
  </w:abstractNum>
  <w:abstractNum w:abstractNumId="1">
    <w:nsid w:val="C1E6524E"/>
    <w:multiLevelType w:val="singleLevel"/>
    <w:tmpl w:val="C1E6524E"/>
    <w:lvl w:ilvl="0" w:tentative="0">
      <w:start w:val="1"/>
      <w:numFmt w:val="chineseCounting"/>
      <w:suff w:val="nothing"/>
      <w:lvlText w:val="（%1）"/>
      <w:lvlJc w:val="left"/>
      <w:rPr>
        <w:rFonts w:hint="eastAsia"/>
      </w:rPr>
    </w:lvl>
  </w:abstractNum>
  <w:abstractNum w:abstractNumId="2">
    <w:nsid w:val="071B4C78"/>
    <w:multiLevelType w:val="multilevel"/>
    <w:tmpl w:val="071B4C78"/>
    <w:lvl w:ilvl="0" w:tentative="0">
      <w:start w:val="1"/>
      <w:numFmt w:val="decimal"/>
      <w:lvlText w:val="%1."/>
      <w:lvlJc w:val="left"/>
      <w:pPr>
        <w:ind w:left="184" w:hanging="160"/>
      </w:pPr>
      <w:rPr>
        <w:rFonts w:hint="default" w:ascii="Times New Roman" w:hAnsi="Times New Roman" w:eastAsia="Times New Roman" w:cs="Times New Roman"/>
        <w:w w:val="100"/>
        <w:sz w:val="19"/>
        <w:szCs w:val="19"/>
      </w:rPr>
    </w:lvl>
    <w:lvl w:ilvl="1" w:tentative="0">
      <w:start w:val="0"/>
      <w:numFmt w:val="bullet"/>
      <w:lvlText w:val="•"/>
      <w:lvlJc w:val="left"/>
      <w:pPr>
        <w:ind w:left="574" w:hanging="160"/>
      </w:pPr>
      <w:rPr>
        <w:rFonts w:hint="default"/>
      </w:rPr>
    </w:lvl>
    <w:lvl w:ilvl="2" w:tentative="0">
      <w:start w:val="0"/>
      <w:numFmt w:val="bullet"/>
      <w:lvlText w:val="•"/>
      <w:lvlJc w:val="left"/>
      <w:pPr>
        <w:ind w:left="968" w:hanging="160"/>
      </w:pPr>
      <w:rPr>
        <w:rFonts w:hint="default"/>
      </w:rPr>
    </w:lvl>
    <w:lvl w:ilvl="3" w:tentative="0">
      <w:start w:val="0"/>
      <w:numFmt w:val="bullet"/>
      <w:lvlText w:val="•"/>
      <w:lvlJc w:val="left"/>
      <w:pPr>
        <w:ind w:left="1362" w:hanging="160"/>
      </w:pPr>
      <w:rPr>
        <w:rFonts w:hint="default"/>
      </w:rPr>
    </w:lvl>
    <w:lvl w:ilvl="4" w:tentative="0">
      <w:start w:val="0"/>
      <w:numFmt w:val="bullet"/>
      <w:lvlText w:val="•"/>
      <w:lvlJc w:val="left"/>
      <w:pPr>
        <w:ind w:left="1756" w:hanging="160"/>
      </w:pPr>
      <w:rPr>
        <w:rFonts w:hint="default"/>
      </w:rPr>
    </w:lvl>
    <w:lvl w:ilvl="5" w:tentative="0">
      <w:start w:val="0"/>
      <w:numFmt w:val="bullet"/>
      <w:lvlText w:val="•"/>
      <w:lvlJc w:val="left"/>
      <w:pPr>
        <w:ind w:left="2150" w:hanging="160"/>
      </w:pPr>
      <w:rPr>
        <w:rFonts w:hint="default"/>
      </w:rPr>
    </w:lvl>
    <w:lvl w:ilvl="6" w:tentative="0">
      <w:start w:val="0"/>
      <w:numFmt w:val="bullet"/>
      <w:lvlText w:val="•"/>
      <w:lvlJc w:val="left"/>
      <w:pPr>
        <w:ind w:left="2544" w:hanging="160"/>
      </w:pPr>
      <w:rPr>
        <w:rFonts w:hint="default"/>
      </w:rPr>
    </w:lvl>
    <w:lvl w:ilvl="7" w:tentative="0">
      <w:start w:val="0"/>
      <w:numFmt w:val="bullet"/>
      <w:lvlText w:val="•"/>
      <w:lvlJc w:val="left"/>
      <w:pPr>
        <w:ind w:left="2939" w:hanging="160"/>
      </w:pPr>
      <w:rPr>
        <w:rFonts w:hint="default"/>
      </w:rPr>
    </w:lvl>
    <w:lvl w:ilvl="8" w:tentative="0">
      <w:start w:val="0"/>
      <w:numFmt w:val="bullet"/>
      <w:lvlText w:val="•"/>
      <w:lvlJc w:val="left"/>
      <w:pPr>
        <w:ind w:left="3333" w:hanging="160"/>
      </w:pPr>
      <w:rPr>
        <w:rFonts w:hint="default"/>
      </w:rPr>
    </w:lvl>
  </w:abstractNum>
  <w:abstractNum w:abstractNumId="3">
    <w:nsid w:val="14DA1E4D"/>
    <w:multiLevelType w:val="multilevel"/>
    <w:tmpl w:val="14DA1E4D"/>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4">
    <w:nsid w:val="1B85042B"/>
    <w:multiLevelType w:val="multilevel"/>
    <w:tmpl w:val="1B85042B"/>
    <w:lvl w:ilvl="0" w:tentative="0">
      <w:start w:val="1"/>
      <w:numFmt w:val="decimal"/>
      <w:lvlText w:val="%1."/>
      <w:lvlJc w:val="left"/>
      <w:pPr>
        <w:ind w:left="1079" w:hanging="420"/>
      </w:pPr>
      <w:rPr>
        <w:rFonts w:hint="default" w:ascii="Times New Roman" w:hAnsi="Times New Roman" w:eastAsia="Times New Roman" w:cs="Times New Roman"/>
        <w:spacing w:val="0"/>
        <w:w w:val="100"/>
        <w:sz w:val="28"/>
        <w:szCs w:val="28"/>
      </w:rPr>
    </w:lvl>
    <w:lvl w:ilvl="1" w:tentative="0">
      <w:start w:val="0"/>
      <w:numFmt w:val="bullet"/>
      <w:lvlText w:val="•"/>
      <w:lvlJc w:val="left"/>
      <w:pPr>
        <w:ind w:left="1996" w:hanging="420"/>
      </w:pPr>
      <w:rPr>
        <w:rFonts w:hint="default"/>
      </w:rPr>
    </w:lvl>
    <w:lvl w:ilvl="2" w:tentative="0">
      <w:start w:val="0"/>
      <w:numFmt w:val="bullet"/>
      <w:lvlText w:val="•"/>
      <w:lvlJc w:val="left"/>
      <w:pPr>
        <w:ind w:left="2913" w:hanging="420"/>
      </w:pPr>
      <w:rPr>
        <w:rFonts w:hint="default"/>
      </w:rPr>
    </w:lvl>
    <w:lvl w:ilvl="3" w:tentative="0">
      <w:start w:val="0"/>
      <w:numFmt w:val="bullet"/>
      <w:lvlText w:val="•"/>
      <w:lvlJc w:val="left"/>
      <w:pPr>
        <w:ind w:left="3829" w:hanging="420"/>
      </w:pPr>
      <w:rPr>
        <w:rFonts w:hint="default"/>
      </w:rPr>
    </w:lvl>
    <w:lvl w:ilvl="4" w:tentative="0">
      <w:start w:val="0"/>
      <w:numFmt w:val="bullet"/>
      <w:lvlText w:val="•"/>
      <w:lvlJc w:val="left"/>
      <w:pPr>
        <w:ind w:left="4746" w:hanging="420"/>
      </w:pPr>
      <w:rPr>
        <w:rFonts w:hint="default"/>
      </w:rPr>
    </w:lvl>
    <w:lvl w:ilvl="5" w:tentative="0">
      <w:start w:val="0"/>
      <w:numFmt w:val="bullet"/>
      <w:lvlText w:val="•"/>
      <w:lvlJc w:val="left"/>
      <w:pPr>
        <w:ind w:left="5663" w:hanging="420"/>
      </w:pPr>
      <w:rPr>
        <w:rFonts w:hint="default"/>
      </w:rPr>
    </w:lvl>
    <w:lvl w:ilvl="6" w:tentative="0">
      <w:start w:val="0"/>
      <w:numFmt w:val="bullet"/>
      <w:lvlText w:val="•"/>
      <w:lvlJc w:val="left"/>
      <w:pPr>
        <w:ind w:left="6579" w:hanging="420"/>
      </w:pPr>
      <w:rPr>
        <w:rFonts w:hint="default"/>
      </w:rPr>
    </w:lvl>
    <w:lvl w:ilvl="7" w:tentative="0">
      <w:start w:val="0"/>
      <w:numFmt w:val="bullet"/>
      <w:lvlText w:val="•"/>
      <w:lvlJc w:val="left"/>
      <w:pPr>
        <w:ind w:left="7496" w:hanging="420"/>
      </w:pPr>
      <w:rPr>
        <w:rFonts w:hint="default"/>
      </w:rPr>
    </w:lvl>
    <w:lvl w:ilvl="8" w:tentative="0">
      <w:start w:val="0"/>
      <w:numFmt w:val="bullet"/>
      <w:lvlText w:val="•"/>
      <w:lvlJc w:val="left"/>
      <w:pPr>
        <w:ind w:left="8413" w:hanging="420"/>
      </w:pPr>
      <w:rPr>
        <w:rFonts w:hint="default"/>
      </w:rPr>
    </w:lvl>
  </w:abstractNum>
  <w:abstractNum w:abstractNumId="5">
    <w:nsid w:val="25C12049"/>
    <w:multiLevelType w:val="multilevel"/>
    <w:tmpl w:val="25C12049"/>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6">
    <w:nsid w:val="3141351B"/>
    <w:multiLevelType w:val="multilevel"/>
    <w:tmpl w:val="3141351B"/>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7">
    <w:nsid w:val="32A648CE"/>
    <w:multiLevelType w:val="multilevel"/>
    <w:tmpl w:val="32A648CE"/>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8">
    <w:nsid w:val="33BA2865"/>
    <w:multiLevelType w:val="multilevel"/>
    <w:tmpl w:val="33BA2865"/>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9">
    <w:nsid w:val="36A9316E"/>
    <w:multiLevelType w:val="multilevel"/>
    <w:tmpl w:val="36A9316E"/>
    <w:lvl w:ilvl="0" w:tentative="0">
      <w:start w:val="0"/>
      <w:numFmt w:val="decimal"/>
      <w:lvlText w:val="%1"/>
      <w:lvlJc w:val="left"/>
      <w:pPr>
        <w:ind w:left="365" w:hanging="265"/>
      </w:pPr>
      <w:rPr>
        <w:rFonts w:hint="default"/>
      </w:rPr>
    </w:lvl>
    <w:lvl w:ilvl="1" w:tentative="0">
      <w:start w:val="3"/>
      <w:numFmt w:val="decimal"/>
      <w:lvlText w:val="%1.%2"/>
      <w:lvlJc w:val="left"/>
      <w:pPr>
        <w:ind w:left="365" w:hanging="265"/>
      </w:pPr>
      <w:rPr>
        <w:rFonts w:hint="default" w:ascii="Times New Roman" w:hAnsi="Times New Roman" w:eastAsia="Times New Roman" w:cs="Times New Roman"/>
        <w:w w:val="100"/>
        <w:sz w:val="19"/>
        <w:szCs w:val="19"/>
      </w:rPr>
    </w:lvl>
    <w:lvl w:ilvl="2" w:tentative="0">
      <w:start w:val="1"/>
      <w:numFmt w:val="decimal"/>
      <w:lvlText w:val="（%3）"/>
      <w:lvlJc w:val="left"/>
      <w:pPr>
        <w:ind w:left="100" w:hanging="702"/>
      </w:pPr>
      <w:rPr>
        <w:rFonts w:hint="default" w:ascii="仿宋" w:hAnsi="仿宋" w:eastAsia="仿宋" w:cs="仿宋"/>
        <w:spacing w:val="-32"/>
        <w:w w:val="100"/>
        <w:sz w:val="26"/>
        <w:szCs w:val="26"/>
      </w:rPr>
    </w:lvl>
    <w:lvl w:ilvl="3" w:tentative="0">
      <w:start w:val="0"/>
      <w:numFmt w:val="bullet"/>
      <w:lvlText w:val="•"/>
      <w:lvlJc w:val="left"/>
      <w:pPr>
        <w:ind w:left="2556" w:hanging="702"/>
      </w:pPr>
      <w:rPr>
        <w:rFonts w:hint="default"/>
      </w:rPr>
    </w:lvl>
    <w:lvl w:ilvl="4" w:tentative="0">
      <w:start w:val="0"/>
      <w:numFmt w:val="bullet"/>
      <w:lvlText w:val="•"/>
      <w:lvlJc w:val="left"/>
      <w:pPr>
        <w:ind w:left="3655" w:hanging="702"/>
      </w:pPr>
      <w:rPr>
        <w:rFonts w:hint="default"/>
      </w:rPr>
    </w:lvl>
    <w:lvl w:ilvl="5" w:tentative="0">
      <w:start w:val="0"/>
      <w:numFmt w:val="bullet"/>
      <w:lvlText w:val="•"/>
      <w:lvlJc w:val="left"/>
      <w:pPr>
        <w:ind w:left="4753" w:hanging="702"/>
      </w:pPr>
      <w:rPr>
        <w:rFonts w:hint="default"/>
      </w:rPr>
    </w:lvl>
    <w:lvl w:ilvl="6" w:tentative="0">
      <w:start w:val="0"/>
      <w:numFmt w:val="bullet"/>
      <w:lvlText w:val="•"/>
      <w:lvlJc w:val="left"/>
      <w:pPr>
        <w:ind w:left="5852" w:hanging="702"/>
      </w:pPr>
      <w:rPr>
        <w:rFonts w:hint="default"/>
      </w:rPr>
    </w:lvl>
    <w:lvl w:ilvl="7" w:tentative="0">
      <w:start w:val="0"/>
      <w:numFmt w:val="bullet"/>
      <w:lvlText w:val="•"/>
      <w:lvlJc w:val="left"/>
      <w:pPr>
        <w:ind w:left="6950" w:hanging="702"/>
      </w:pPr>
      <w:rPr>
        <w:rFonts w:hint="default"/>
      </w:rPr>
    </w:lvl>
    <w:lvl w:ilvl="8" w:tentative="0">
      <w:start w:val="0"/>
      <w:numFmt w:val="bullet"/>
      <w:lvlText w:val="•"/>
      <w:lvlJc w:val="left"/>
      <w:pPr>
        <w:ind w:left="8049" w:hanging="702"/>
      </w:pPr>
      <w:rPr>
        <w:rFonts w:hint="default"/>
      </w:rPr>
    </w:lvl>
  </w:abstractNum>
  <w:abstractNum w:abstractNumId="10">
    <w:nsid w:val="38F60006"/>
    <w:multiLevelType w:val="multilevel"/>
    <w:tmpl w:val="38F60006"/>
    <w:lvl w:ilvl="0" w:tentative="0">
      <w:start w:val="1"/>
      <w:numFmt w:val="decimal"/>
      <w:lvlText w:val="%1."/>
      <w:lvlJc w:val="left"/>
      <w:pPr>
        <w:ind w:left="187" w:hanging="160"/>
      </w:pPr>
      <w:rPr>
        <w:rFonts w:hint="default" w:ascii="Times New Roman" w:hAnsi="Times New Roman" w:eastAsia="Times New Roman" w:cs="Times New Roman"/>
        <w:w w:val="100"/>
        <w:sz w:val="19"/>
        <w:szCs w:val="19"/>
      </w:rPr>
    </w:lvl>
    <w:lvl w:ilvl="1" w:tentative="0">
      <w:start w:val="0"/>
      <w:numFmt w:val="bullet"/>
      <w:lvlText w:val="•"/>
      <w:lvlJc w:val="left"/>
      <w:pPr>
        <w:ind w:left="588" w:hanging="160"/>
      </w:pPr>
      <w:rPr>
        <w:rFonts w:hint="default"/>
      </w:rPr>
    </w:lvl>
    <w:lvl w:ilvl="2" w:tentative="0">
      <w:start w:val="0"/>
      <w:numFmt w:val="bullet"/>
      <w:lvlText w:val="•"/>
      <w:lvlJc w:val="left"/>
      <w:pPr>
        <w:ind w:left="996" w:hanging="160"/>
      </w:pPr>
      <w:rPr>
        <w:rFonts w:hint="default"/>
      </w:rPr>
    </w:lvl>
    <w:lvl w:ilvl="3" w:tentative="0">
      <w:start w:val="0"/>
      <w:numFmt w:val="bullet"/>
      <w:lvlText w:val="•"/>
      <w:lvlJc w:val="left"/>
      <w:pPr>
        <w:ind w:left="1404" w:hanging="160"/>
      </w:pPr>
      <w:rPr>
        <w:rFonts w:hint="default"/>
      </w:rPr>
    </w:lvl>
    <w:lvl w:ilvl="4" w:tentative="0">
      <w:start w:val="0"/>
      <w:numFmt w:val="bullet"/>
      <w:lvlText w:val="•"/>
      <w:lvlJc w:val="left"/>
      <w:pPr>
        <w:ind w:left="1812" w:hanging="160"/>
      </w:pPr>
      <w:rPr>
        <w:rFonts w:hint="default"/>
      </w:rPr>
    </w:lvl>
    <w:lvl w:ilvl="5" w:tentative="0">
      <w:start w:val="0"/>
      <w:numFmt w:val="bullet"/>
      <w:lvlText w:val="•"/>
      <w:lvlJc w:val="left"/>
      <w:pPr>
        <w:ind w:left="2220" w:hanging="160"/>
      </w:pPr>
      <w:rPr>
        <w:rFonts w:hint="default"/>
      </w:rPr>
    </w:lvl>
    <w:lvl w:ilvl="6" w:tentative="0">
      <w:start w:val="0"/>
      <w:numFmt w:val="bullet"/>
      <w:lvlText w:val="•"/>
      <w:lvlJc w:val="left"/>
      <w:pPr>
        <w:ind w:left="2628" w:hanging="160"/>
      </w:pPr>
      <w:rPr>
        <w:rFonts w:hint="default"/>
      </w:rPr>
    </w:lvl>
    <w:lvl w:ilvl="7" w:tentative="0">
      <w:start w:val="0"/>
      <w:numFmt w:val="bullet"/>
      <w:lvlText w:val="•"/>
      <w:lvlJc w:val="left"/>
      <w:pPr>
        <w:ind w:left="3036" w:hanging="160"/>
      </w:pPr>
      <w:rPr>
        <w:rFonts w:hint="default"/>
      </w:rPr>
    </w:lvl>
    <w:lvl w:ilvl="8" w:tentative="0">
      <w:start w:val="0"/>
      <w:numFmt w:val="bullet"/>
      <w:lvlText w:val="•"/>
      <w:lvlJc w:val="left"/>
      <w:pPr>
        <w:ind w:left="3444" w:hanging="160"/>
      </w:pPr>
      <w:rPr>
        <w:rFonts w:hint="default"/>
      </w:rPr>
    </w:lvl>
  </w:abstractNum>
  <w:abstractNum w:abstractNumId="11">
    <w:nsid w:val="400832F5"/>
    <w:multiLevelType w:val="multilevel"/>
    <w:tmpl w:val="400832F5"/>
    <w:lvl w:ilvl="0" w:tentative="0">
      <w:start w:val="1"/>
      <w:numFmt w:val="decimal"/>
      <w:lvlText w:val="%1."/>
      <w:lvlJc w:val="left"/>
      <w:pPr>
        <w:ind w:left="28" w:hanging="160"/>
      </w:pPr>
      <w:rPr>
        <w:rFonts w:hint="default" w:ascii="Times New Roman" w:hAnsi="Times New Roman" w:eastAsia="Times New Roman" w:cs="Times New Roman"/>
        <w:w w:val="100"/>
        <w:sz w:val="19"/>
        <w:szCs w:val="19"/>
      </w:rPr>
    </w:lvl>
    <w:lvl w:ilvl="1" w:tentative="0">
      <w:start w:val="0"/>
      <w:numFmt w:val="bullet"/>
      <w:lvlText w:val="•"/>
      <w:lvlJc w:val="left"/>
      <w:pPr>
        <w:ind w:left="857" w:hanging="160"/>
      </w:pPr>
      <w:rPr>
        <w:rFonts w:hint="default"/>
      </w:rPr>
    </w:lvl>
    <w:lvl w:ilvl="2" w:tentative="0">
      <w:start w:val="0"/>
      <w:numFmt w:val="bullet"/>
      <w:lvlText w:val="•"/>
      <w:lvlJc w:val="left"/>
      <w:pPr>
        <w:ind w:left="1695" w:hanging="160"/>
      </w:pPr>
      <w:rPr>
        <w:rFonts w:hint="default"/>
      </w:rPr>
    </w:lvl>
    <w:lvl w:ilvl="3" w:tentative="0">
      <w:start w:val="0"/>
      <w:numFmt w:val="bullet"/>
      <w:lvlText w:val="•"/>
      <w:lvlJc w:val="left"/>
      <w:pPr>
        <w:ind w:left="2533" w:hanging="160"/>
      </w:pPr>
      <w:rPr>
        <w:rFonts w:hint="default"/>
      </w:rPr>
    </w:lvl>
    <w:lvl w:ilvl="4" w:tentative="0">
      <w:start w:val="0"/>
      <w:numFmt w:val="bullet"/>
      <w:lvlText w:val="•"/>
      <w:lvlJc w:val="left"/>
      <w:pPr>
        <w:ind w:left="3370" w:hanging="160"/>
      </w:pPr>
      <w:rPr>
        <w:rFonts w:hint="default"/>
      </w:rPr>
    </w:lvl>
    <w:lvl w:ilvl="5" w:tentative="0">
      <w:start w:val="0"/>
      <w:numFmt w:val="bullet"/>
      <w:lvlText w:val="•"/>
      <w:lvlJc w:val="left"/>
      <w:pPr>
        <w:ind w:left="4208" w:hanging="160"/>
      </w:pPr>
      <w:rPr>
        <w:rFonts w:hint="default"/>
      </w:rPr>
    </w:lvl>
    <w:lvl w:ilvl="6" w:tentative="0">
      <w:start w:val="0"/>
      <w:numFmt w:val="bullet"/>
      <w:lvlText w:val="•"/>
      <w:lvlJc w:val="left"/>
      <w:pPr>
        <w:ind w:left="5046" w:hanging="160"/>
      </w:pPr>
      <w:rPr>
        <w:rFonts w:hint="default"/>
      </w:rPr>
    </w:lvl>
    <w:lvl w:ilvl="7" w:tentative="0">
      <w:start w:val="0"/>
      <w:numFmt w:val="bullet"/>
      <w:lvlText w:val="•"/>
      <w:lvlJc w:val="left"/>
      <w:pPr>
        <w:ind w:left="5883" w:hanging="160"/>
      </w:pPr>
      <w:rPr>
        <w:rFonts w:hint="default"/>
      </w:rPr>
    </w:lvl>
    <w:lvl w:ilvl="8" w:tentative="0">
      <w:start w:val="0"/>
      <w:numFmt w:val="bullet"/>
      <w:lvlText w:val="•"/>
      <w:lvlJc w:val="left"/>
      <w:pPr>
        <w:ind w:left="6721" w:hanging="160"/>
      </w:pPr>
      <w:rPr>
        <w:rFonts w:hint="default"/>
      </w:rPr>
    </w:lvl>
  </w:abstractNum>
  <w:abstractNum w:abstractNumId="12">
    <w:nsid w:val="4A3C1FA3"/>
    <w:multiLevelType w:val="multilevel"/>
    <w:tmpl w:val="4A3C1FA3"/>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13">
    <w:nsid w:val="4F507B63"/>
    <w:multiLevelType w:val="multilevel"/>
    <w:tmpl w:val="4F507B63"/>
    <w:lvl w:ilvl="0" w:tentative="0">
      <w:start w:val="1"/>
      <w:numFmt w:val="decimal"/>
      <w:lvlText w:val="%1."/>
      <w:lvlJc w:val="left"/>
      <w:pPr>
        <w:ind w:left="1079" w:hanging="420"/>
      </w:pPr>
      <w:rPr>
        <w:rFonts w:hint="default" w:ascii="Times New Roman" w:hAnsi="Times New Roman" w:eastAsia="Times New Roman" w:cs="Times New Roman"/>
        <w:spacing w:val="0"/>
        <w:w w:val="100"/>
        <w:sz w:val="28"/>
        <w:szCs w:val="28"/>
      </w:rPr>
    </w:lvl>
    <w:lvl w:ilvl="1" w:tentative="0">
      <w:start w:val="0"/>
      <w:numFmt w:val="bullet"/>
      <w:lvlText w:val="•"/>
      <w:lvlJc w:val="left"/>
      <w:pPr>
        <w:ind w:left="1996" w:hanging="420"/>
      </w:pPr>
      <w:rPr>
        <w:rFonts w:hint="default"/>
      </w:rPr>
    </w:lvl>
    <w:lvl w:ilvl="2" w:tentative="0">
      <w:start w:val="0"/>
      <w:numFmt w:val="bullet"/>
      <w:lvlText w:val="•"/>
      <w:lvlJc w:val="left"/>
      <w:pPr>
        <w:ind w:left="2913" w:hanging="420"/>
      </w:pPr>
      <w:rPr>
        <w:rFonts w:hint="default"/>
      </w:rPr>
    </w:lvl>
    <w:lvl w:ilvl="3" w:tentative="0">
      <w:start w:val="0"/>
      <w:numFmt w:val="bullet"/>
      <w:lvlText w:val="•"/>
      <w:lvlJc w:val="left"/>
      <w:pPr>
        <w:ind w:left="3829" w:hanging="420"/>
      </w:pPr>
      <w:rPr>
        <w:rFonts w:hint="default"/>
      </w:rPr>
    </w:lvl>
    <w:lvl w:ilvl="4" w:tentative="0">
      <w:start w:val="0"/>
      <w:numFmt w:val="bullet"/>
      <w:lvlText w:val="•"/>
      <w:lvlJc w:val="left"/>
      <w:pPr>
        <w:ind w:left="4746" w:hanging="420"/>
      </w:pPr>
      <w:rPr>
        <w:rFonts w:hint="default"/>
      </w:rPr>
    </w:lvl>
    <w:lvl w:ilvl="5" w:tentative="0">
      <w:start w:val="0"/>
      <w:numFmt w:val="bullet"/>
      <w:lvlText w:val="•"/>
      <w:lvlJc w:val="left"/>
      <w:pPr>
        <w:ind w:left="5663" w:hanging="420"/>
      </w:pPr>
      <w:rPr>
        <w:rFonts w:hint="default"/>
      </w:rPr>
    </w:lvl>
    <w:lvl w:ilvl="6" w:tentative="0">
      <w:start w:val="0"/>
      <w:numFmt w:val="bullet"/>
      <w:lvlText w:val="•"/>
      <w:lvlJc w:val="left"/>
      <w:pPr>
        <w:ind w:left="6579" w:hanging="420"/>
      </w:pPr>
      <w:rPr>
        <w:rFonts w:hint="default"/>
      </w:rPr>
    </w:lvl>
    <w:lvl w:ilvl="7" w:tentative="0">
      <w:start w:val="0"/>
      <w:numFmt w:val="bullet"/>
      <w:lvlText w:val="•"/>
      <w:lvlJc w:val="left"/>
      <w:pPr>
        <w:ind w:left="7496" w:hanging="420"/>
      </w:pPr>
      <w:rPr>
        <w:rFonts w:hint="default"/>
      </w:rPr>
    </w:lvl>
    <w:lvl w:ilvl="8" w:tentative="0">
      <w:start w:val="0"/>
      <w:numFmt w:val="bullet"/>
      <w:lvlText w:val="•"/>
      <w:lvlJc w:val="left"/>
      <w:pPr>
        <w:ind w:left="8413" w:hanging="420"/>
      </w:pPr>
      <w:rPr>
        <w:rFonts w:hint="default"/>
      </w:rPr>
    </w:lvl>
  </w:abstractNum>
  <w:abstractNum w:abstractNumId="14">
    <w:nsid w:val="5BB165DE"/>
    <w:multiLevelType w:val="multilevel"/>
    <w:tmpl w:val="5BB165DE"/>
    <w:lvl w:ilvl="0" w:tentative="0">
      <w:start w:val="1"/>
      <w:numFmt w:val="decimal"/>
      <w:lvlText w:val="%1."/>
      <w:lvlJc w:val="left"/>
      <w:pPr>
        <w:ind w:left="28" w:hanging="160"/>
      </w:pPr>
      <w:rPr>
        <w:rFonts w:hint="default" w:ascii="Times New Roman" w:hAnsi="Times New Roman" w:eastAsia="Times New Roman" w:cs="Times New Roman"/>
        <w:w w:val="100"/>
        <w:sz w:val="19"/>
        <w:szCs w:val="19"/>
      </w:rPr>
    </w:lvl>
    <w:lvl w:ilvl="1" w:tentative="0">
      <w:start w:val="0"/>
      <w:numFmt w:val="bullet"/>
      <w:lvlText w:val="•"/>
      <w:lvlJc w:val="left"/>
      <w:pPr>
        <w:ind w:left="857" w:hanging="160"/>
      </w:pPr>
      <w:rPr>
        <w:rFonts w:hint="default"/>
      </w:rPr>
    </w:lvl>
    <w:lvl w:ilvl="2" w:tentative="0">
      <w:start w:val="0"/>
      <w:numFmt w:val="bullet"/>
      <w:lvlText w:val="•"/>
      <w:lvlJc w:val="left"/>
      <w:pPr>
        <w:ind w:left="1695" w:hanging="160"/>
      </w:pPr>
      <w:rPr>
        <w:rFonts w:hint="default"/>
      </w:rPr>
    </w:lvl>
    <w:lvl w:ilvl="3" w:tentative="0">
      <w:start w:val="0"/>
      <w:numFmt w:val="bullet"/>
      <w:lvlText w:val="•"/>
      <w:lvlJc w:val="left"/>
      <w:pPr>
        <w:ind w:left="2533" w:hanging="160"/>
      </w:pPr>
      <w:rPr>
        <w:rFonts w:hint="default"/>
      </w:rPr>
    </w:lvl>
    <w:lvl w:ilvl="4" w:tentative="0">
      <w:start w:val="0"/>
      <w:numFmt w:val="bullet"/>
      <w:lvlText w:val="•"/>
      <w:lvlJc w:val="left"/>
      <w:pPr>
        <w:ind w:left="3370" w:hanging="160"/>
      </w:pPr>
      <w:rPr>
        <w:rFonts w:hint="default"/>
      </w:rPr>
    </w:lvl>
    <w:lvl w:ilvl="5" w:tentative="0">
      <w:start w:val="0"/>
      <w:numFmt w:val="bullet"/>
      <w:lvlText w:val="•"/>
      <w:lvlJc w:val="left"/>
      <w:pPr>
        <w:ind w:left="4208" w:hanging="160"/>
      </w:pPr>
      <w:rPr>
        <w:rFonts w:hint="default"/>
      </w:rPr>
    </w:lvl>
    <w:lvl w:ilvl="6" w:tentative="0">
      <w:start w:val="0"/>
      <w:numFmt w:val="bullet"/>
      <w:lvlText w:val="•"/>
      <w:lvlJc w:val="left"/>
      <w:pPr>
        <w:ind w:left="5046" w:hanging="160"/>
      </w:pPr>
      <w:rPr>
        <w:rFonts w:hint="default"/>
      </w:rPr>
    </w:lvl>
    <w:lvl w:ilvl="7" w:tentative="0">
      <w:start w:val="0"/>
      <w:numFmt w:val="bullet"/>
      <w:lvlText w:val="•"/>
      <w:lvlJc w:val="left"/>
      <w:pPr>
        <w:ind w:left="5883" w:hanging="160"/>
      </w:pPr>
      <w:rPr>
        <w:rFonts w:hint="default"/>
      </w:rPr>
    </w:lvl>
    <w:lvl w:ilvl="8" w:tentative="0">
      <w:start w:val="0"/>
      <w:numFmt w:val="bullet"/>
      <w:lvlText w:val="•"/>
      <w:lvlJc w:val="left"/>
      <w:pPr>
        <w:ind w:left="6721" w:hanging="160"/>
      </w:pPr>
      <w:rPr>
        <w:rFonts w:hint="default"/>
      </w:rPr>
    </w:lvl>
  </w:abstractNum>
  <w:abstractNum w:abstractNumId="15">
    <w:nsid w:val="5F8254E9"/>
    <w:multiLevelType w:val="multilevel"/>
    <w:tmpl w:val="5F8254E9"/>
    <w:lvl w:ilvl="0" w:tentative="0">
      <w:start w:val="1"/>
      <w:numFmt w:val="decimal"/>
      <w:lvlText w:val="%1."/>
      <w:lvlJc w:val="left"/>
      <w:pPr>
        <w:ind w:left="26" w:hanging="160"/>
      </w:pPr>
      <w:rPr>
        <w:rFonts w:hint="default" w:ascii="Times New Roman" w:hAnsi="Times New Roman" w:eastAsia="Times New Roman" w:cs="Times New Roman"/>
        <w:w w:val="100"/>
        <w:sz w:val="19"/>
        <w:szCs w:val="19"/>
      </w:rPr>
    </w:lvl>
    <w:lvl w:ilvl="1" w:tentative="0">
      <w:start w:val="0"/>
      <w:numFmt w:val="bullet"/>
      <w:lvlText w:val="•"/>
      <w:lvlJc w:val="left"/>
      <w:pPr>
        <w:ind w:left="400" w:hanging="160"/>
      </w:pPr>
      <w:rPr>
        <w:rFonts w:hint="default"/>
      </w:rPr>
    </w:lvl>
    <w:lvl w:ilvl="2" w:tentative="0">
      <w:start w:val="0"/>
      <w:numFmt w:val="bullet"/>
      <w:lvlText w:val="•"/>
      <w:lvlJc w:val="left"/>
      <w:pPr>
        <w:ind w:left="780" w:hanging="160"/>
      </w:pPr>
      <w:rPr>
        <w:rFonts w:hint="default"/>
      </w:rPr>
    </w:lvl>
    <w:lvl w:ilvl="3" w:tentative="0">
      <w:start w:val="0"/>
      <w:numFmt w:val="bullet"/>
      <w:lvlText w:val="•"/>
      <w:lvlJc w:val="left"/>
      <w:pPr>
        <w:ind w:left="1160" w:hanging="160"/>
      </w:pPr>
      <w:rPr>
        <w:rFonts w:hint="default"/>
      </w:rPr>
    </w:lvl>
    <w:lvl w:ilvl="4" w:tentative="0">
      <w:start w:val="0"/>
      <w:numFmt w:val="bullet"/>
      <w:lvlText w:val="•"/>
      <w:lvlJc w:val="left"/>
      <w:pPr>
        <w:ind w:left="1540" w:hanging="160"/>
      </w:pPr>
      <w:rPr>
        <w:rFonts w:hint="default"/>
      </w:rPr>
    </w:lvl>
    <w:lvl w:ilvl="5" w:tentative="0">
      <w:start w:val="0"/>
      <w:numFmt w:val="bullet"/>
      <w:lvlText w:val="•"/>
      <w:lvlJc w:val="left"/>
      <w:pPr>
        <w:ind w:left="1920" w:hanging="160"/>
      </w:pPr>
      <w:rPr>
        <w:rFonts w:hint="default"/>
      </w:rPr>
    </w:lvl>
    <w:lvl w:ilvl="6" w:tentative="0">
      <w:start w:val="0"/>
      <w:numFmt w:val="bullet"/>
      <w:lvlText w:val="•"/>
      <w:lvlJc w:val="left"/>
      <w:pPr>
        <w:ind w:left="2300" w:hanging="160"/>
      </w:pPr>
      <w:rPr>
        <w:rFonts w:hint="default"/>
      </w:rPr>
    </w:lvl>
    <w:lvl w:ilvl="7" w:tentative="0">
      <w:start w:val="0"/>
      <w:numFmt w:val="bullet"/>
      <w:lvlText w:val="•"/>
      <w:lvlJc w:val="left"/>
      <w:pPr>
        <w:ind w:left="2680" w:hanging="160"/>
      </w:pPr>
      <w:rPr>
        <w:rFonts w:hint="default"/>
      </w:rPr>
    </w:lvl>
    <w:lvl w:ilvl="8" w:tentative="0">
      <w:start w:val="0"/>
      <w:numFmt w:val="bullet"/>
      <w:lvlText w:val="•"/>
      <w:lvlJc w:val="left"/>
      <w:pPr>
        <w:ind w:left="3060" w:hanging="160"/>
      </w:pPr>
      <w:rPr>
        <w:rFonts w:hint="default"/>
      </w:rPr>
    </w:lvl>
  </w:abstractNum>
  <w:abstractNum w:abstractNumId="16">
    <w:nsid w:val="663B23D4"/>
    <w:multiLevelType w:val="singleLevel"/>
    <w:tmpl w:val="663B23D4"/>
    <w:lvl w:ilvl="0" w:tentative="0">
      <w:start w:val="5"/>
      <w:numFmt w:val="chineseCounting"/>
      <w:suff w:val="space"/>
      <w:lvlText w:val="第%1节"/>
      <w:lvlJc w:val="left"/>
      <w:rPr>
        <w:rFonts w:hint="eastAsia"/>
      </w:rPr>
    </w:lvl>
  </w:abstractNum>
  <w:abstractNum w:abstractNumId="17">
    <w:nsid w:val="6BC07B48"/>
    <w:multiLevelType w:val="multilevel"/>
    <w:tmpl w:val="6BC07B48"/>
    <w:lvl w:ilvl="0" w:tentative="0">
      <w:start w:val="1"/>
      <w:numFmt w:val="decimal"/>
      <w:lvlText w:val="%1."/>
      <w:lvlJc w:val="left"/>
      <w:pPr>
        <w:ind w:left="187" w:hanging="160"/>
      </w:pPr>
      <w:rPr>
        <w:rFonts w:hint="default" w:ascii="Times New Roman" w:hAnsi="Times New Roman" w:eastAsia="Times New Roman" w:cs="Times New Roman"/>
        <w:w w:val="100"/>
        <w:sz w:val="19"/>
        <w:szCs w:val="19"/>
      </w:rPr>
    </w:lvl>
    <w:lvl w:ilvl="1" w:tentative="0">
      <w:start w:val="0"/>
      <w:numFmt w:val="bullet"/>
      <w:lvlText w:val="•"/>
      <w:lvlJc w:val="left"/>
      <w:pPr>
        <w:ind w:left="1001" w:hanging="160"/>
      </w:pPr>
      <w:rPr>
        <w:rFonts w:hint="default"/>
      </w:rPr>
    </w:lvl>
    <w:lvl w:ilvl="2" w:tentative="0">
      <w:start w:val="0"/>
      <w:numFmt w:val="bullet"/>
      <w:lvlText w:val="•"/>
      <w:lvlJc w:val="left"/>
      <w:pPr>
        <w:ind w:left="1823" w:hanging="160"/>
      </w:pPr>
      <w:rPr>
        <w:rFonts w:hint="default"/>
      </w:rPr>
    </w:lvl>
    <w:lvl w:ilvl="3" w:tentative="0">
      <w:start w:val="0"/>
      <w:numFmt w:val="bullet"/>
      <w:lvlText w:val="•"/>
      <w:lvlJc w:val="left"/>
      <w:pPr>
        <w:ind w:left="2645" w:hanging="160"/>
      </w:pPr>
      <w:rPr>
        <w:rFonts w:hint="default"/>
      </w:rPr>
    </w:lvl>
    <w:lvl w:ilvl="4" w:tentative="0">
      <w:start w:val="0"/>
      <w:numFmt w:val="bullet"/>
      <w:lvlText w:val="•"/>
      <w:lvlJc w:val="left"/>
      <w:pPr>
        <w:ind w:left="3466" w:hanging="160"/>
      </w:pPr>
      <w:rPr>
        <w:rFonts w:hint="default"/>
      </w:rPr>
    </w:lvl>
    <w:lvl w:ilvl="5" w:tentative="0">
      <w:start w:val="0"/>
      <w:numFmt w:val="bullet"/>
      <w:lvlText w:val="•"/>
      <w:lvlJc w:val="left"/>
      <w:pPr>
        <w:ind w:left="4288" w:hanging="160"/>
      </w:pPr>
      <w:rPr>
        <w:rFonts w:hint="default"/>
      </w:rPr>
    </w:lvl>
    <w:lvl w:ilvl="6" w:tentative="0">
      <w:start w:val="0"/>
      <w:numFmt w:val="bullet"/>
      <w:lvlText w:val="•"/>
      <w:lvlJc w:val="left"/>
      <w:pPr>
        <w:ind w:left="5110" w:hanging="160"/>
      </w:pPr>
      <w:rPr>
        <w:rFonts w:hint="default"/>
      </w:rPr>
    </w:lvl>
    <w:lvl w:ilvl="7" w:tentative="0">
      <w:start w:val="0"/>
      <w:numFmt w:val="bullet"/>
      <w:lvlText w:val="•"/>
      <w:lvlJc w:val="left"/>
      <w:pPr>
        <w:ind w:left="5931" w:hanging="160"/>
      </w:pPr>
      <w:rPr>
        <w:rFonts w:hint="default"/>
      </w:rPr>
    </w:lvl>
    <w:lvl w:ilvl="8" w:tentative="0">
      <w:start w:val="0"/>
      <w:numFmt w:val="bullet"/>
      <w:lvlText w:val="•"/>
      <w:lvlJc w:val="left"/>
      <w:pPr>
        <w:ind w:left="6753" w:hanging="160"/>
      </w:pPr>
      <w:rPr>
        <w:rFonts w:hint="default"/>
      </w:rPr>
    </w:lvl>
  </w:abstractNum>
  <w:abstractNum w:abstractNumId="18">
    <w:nsid w:val="7E9B4287"/>
    <w:multiLevelType w:val="multilevel"/>
    <w:tmpl w:val="7E9B4287"/>
    <w:lvl w:ilvl="0" w:tentative="0">
      <w:start w:val="1"/>
      <w:numFmt w:val="decimal"/>
      <w:lvlText w:val="%1."/>
      <w:lvlJc w:val="left"/>
      <w:pPr>
        <w:ind w:left="185" w:hanging="160"/>
      </w:pPr>
      <w:rPr>
        <w:rFonts w:hint="default" w:ascii="Times New Roman" w:hAnsi="Times New Roman" w:eastAsia="Times New Roman" w:cs="Times New Roman"/>
        <w:w w:val="100"/>
        <w:sz w:val="19"/>
        <w:szCs w:val="19"/>
      </w:rPr>
    </w:lvl>
    <w:lvl w:ilvl="1" w:tentative="0">
      <w:start w:val="0"/>
      <w:numFmt w:val="bullet"/>
      <w:lvlText w:val="•"/>
      <w:lvlJc w:val="left"/>
      <w:pPr>
        <w:ind w:left="544" w:hanging="160"/>
      </w:pPr>
      <w:rPr>
        <w:rFonts w:hint="default"/>
      </w:rPr>
    </w:lvl>
    <w:lvl w:ilvl="2" w:tentative="0">
      <w:start w:val="0"/>
      <w:numFmt w:val="bullet"/>
      <w:lvlText w:val="•"/>
      <w:lvlJc w:val="left"/>
      <w:pPr>
        <w:ind w:left="908" w:hanging="160"/>
      </w:pPr>
      <w:rPr>
        <w:rFonts w:hint="default"/>
      </w:rPr>
    </w:lvl>
    <w:lvl w:ilvl="3" w:tentative="0">
      <w:start w:val="0"/>
      <w:numFmt w:val="bullet"/>
      <w:lvlText w:val="•"/>
      <w:lvlJc w:val="left"/>
      <w:pPr>
        <w:ind w:left="1272" w:hanging="160"/>
      </w:pPr>
      <w:rPr>
        <w:rFonts w:hint="default"/>
      </w:rPr>
    </w:lvl>
    <w:lvl w:ilvl="4" w:tentative="0">
      <w:start w:val="0"/>
      <w:numFmt w:val="bullet"/>
      <w:lvlText w:val="•"/>
      <w:lvlJc w:val="left"/>
      <w:pPr>
        <w:ind w:left="1636" w:hanging="160"/>
      </w:pPr>
      <w:rPr>
        <w:rFonts w:hint="default"/>
      </w:rPr>
    </w:lvl>
    <w:lvl w:ilvl="5" w:tentative="0">
      <w:start w:val="0"/>
      <w:numFmt w:val="bullet"/>
      <w:lvlText w:val="•"/>
      <w:lvlJc w:val="left"/>
      <w:pPr>
        <w:ind w:left="2000" w:hanging="160"/>
      </w:pPr>
      <w:rPr>
        <w:rFonts w:hint="default"/>
      </w:rPr>
    </w:lvl>
    <w:lvl w:ilvl="6" w:tentative="0">
      <w:start w:val="0"/>
      <w:numFmt w:val="bullet"/>
      <w:lvlText w:val="•"/>
      <w:lvlJc w:val="left"/>
      <w:pPr>
        <w:ind w:left="2364" w:hanging="160"/>
      </w:pPr>
      <w:rPr>
        <w:rFonts w:hint="default"/>
      </w:rPr>
    </w:lvl>
    <w:lvl w:ilvl="7" w:tentative="0">
      <w:start w:val="0"/>
      <w:numFmt w:val="bullet"/>
      <w:lvlText w:val="•"/>
      <w:lvlJc w:val="left"/>
      <w:pPr>
        <w:ind w:left="2728" w:hanging="160"/>
      </w:pPr>
      <w:rPr>
        <w:rFonts w:hint="default"/>
      </w:rPr>
    </w:lvl>
    <w:lvl w:ilvl="8" w:tentative="0">
      <w:start w:val="0"/>
      <w:numFmt w:val="bullet"/>
      <w:lvlText w:val="•"/>
      <w:lvlJc w:val="left"/>
      <w:pPr>
        <w:ind w:left="3092" w:hanging="160"/>
      </w:pPr>
      <w:rPr>
        <w:rFonts w:hint="default"/>
      </w:rPr>
    </w:lvl>
  </w:abstractNum>
  <w:num w:numId="1">
    <w:abstractNumId w:val="1"/>
  </w:num>
  <w:num w:numId="2">
    <w:abstractNumId w:val="0"/>
  </w:num>
  <w:num w:numId="3">
    <w:abstractNumId w:val="16"/>
  </w:num>
  <w:num w:numId="4">
    <w:abstractNumId w:val="9"/>
  </w:num>
  <w:num w:numId="5">
    <w:abstractNumId w:val="13"/>
  </w:num>
  <w:num w:numId="6">
    <w:abstractNumId w:val="4"/>
  </w:num>
  <w:num w:numId="7">
    <w:abstractNumId w:val="5"/>
  </w:num>
  <w:num w:numId="8">
    <w:abstractNumId w:val="18"/>
  </w:num>
  <w:num w:numId="9">
    <w:abstractNumId w:val="3"/>
  </w:num>
  <w:num w:numId="10">
    <w:abstractNumId w:val="7"/>
  </w:num>
  <w:num w:numId="11">
    <w:abstractNumId w:val="12"/>
  </w:num>
  <w:num w:numId="12">
    <w:abstractNumId w:val="15"/>
  </w:num>
  <w:num w:numId="13">
    <w:abstractNumId w:val="6"/>
  </w:num>
  <w:num w:numId="14">
    <w:abstractNumId w:val="8"/>
  </w:num>
  <w:num w:numId="15">
    <w:abstractNumId w:val="10"/>
  </w:num>
  <w:num w:numId="16">
    <w:abstractNumId w:val="2"/>
  </w:num>
  <w:num w:numId="17">
    <w:abstractNumId w:val="11"/>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9E"/>
    <w:rsid w:val="000639B0"/>
    <w:rsid w:val="00070680"/>
    <w:rsid w:val="00075529"/>
    <w:rsid w:val="000856C2"/>
    <w:rsid w:val="000D37DE"/>
    <w:rsid w:val="0013618C"/>
    <w:rsid w:val="0015222B"/>
    <w:rsid w:val="00170376"/>
    <w:rsid w:val="00197B7B"/>
    <w:rsid w:val="001A64C4"/>
    <w:rsid w:val="00235859"/>
    <w:rsid w:val="003550AC"/>
    <w:rsid w:val="00382D11"/>
    <w:rsid w:val="003B0418"/>
    <w:rsid w:val="0047572E"/>
    <w:rsid w:val="004826E0"/>
    <w:rsid w:val="005303C4"/>
    <w:rsid w:val="0059589E"/>
    <w:rsid w:val="00607C75"/>
    <w:rsid w:val="00693D35"/>
    <w:rsid w:val="006B5E6D"/>
    <w:rsid w:val="00754963"/>
    <w:rsid w:val="00770CF2"/>
    <w:rsid w:val="007B5FC2"/>
    <w:rsid w:val="007E7320"/>
    <w:rsid w:val="008D1BC1"/>
    <w:rsid w:val="008E0DE2"/>
    <w:rsid w:val="00940300"/>
    <w:rsid w:val="00A51544"/>
    <w:rsid w:val="00A67D39"/>
    <w:rsid w:val="00A9635C"/>
    <w:rsid w:val="00AA4A5B"/>
    <w:rsid w:val="00AB0FC5"/>
    <w:rsid w:val="00AC33B9"/>
    <w:rsid w:val="00AE5DDF"/>
    <w:rsid w:val="00B12AFA"/>
    <w:rsid w:val="00B32C8F"/>
    <w:rsid w:val="00BB0328"/>
    <w:rsid w:val="00BB0E1B"/>
    <w:rsid w:val="00C32349"/>
    <w:rsid w:val="00C50B26"/>
    <w:rsid w:val="00CA4CA6"/>
    <w:rsid w:val="00CB6DBD"/>
    <w:rsid w:val="00CF0774"/>
    <w:rsid w:val="00D13640"/>
    <w:rsid w:val="00D249D6"/>
    <w:rsid w:val="00D37B0F"/>
    <w:rsid w:val="00D516F0"/>
    <w:rsid w:val="00D95CDA"/>
    <w:rsid w:val="00DC0103"/>
    <w:rsid w:val="00DD7083"/>
    <w:rsid w:val="00E33E0C"/>
    <w:rsid w:val="00E63A9E"/>
    <w:rsid w:val="00E87AB6"/>
    <w:rsid w:val="00EC7FBE"/>
    <w:rsid w:val="00F15D2E"/>
    <w:rsid w:val="00FA7F2A"/>
    <w:rsid w:val="0127376E"/>
    <w:rsid w:val="01740E93"/>
    <w:rsid w:val="018502B5"/>
    <w:rsid w:val="01AC5842"/>
    <w:rsid w:val="01C6526B"/>
    <w:rsid w:val="01E925F2"/>
    <w:rsid w:val="01FE5BEA"/>
    <w:rsid w:val="02720118"/>
    <w:rsid w:val="02994018"/>
    <w:rsid w:val="02BA3F8E"/>
    <w:rsid w:val="02CD3CC1"/>
    <w:rsid w:val="02D768EE"/>
    <w:rsid w:val="02E20BD0"/>
    <w:rsid w:val="02F70D3E"/>
    <w:rsid w:val="02F92D08"/>
    <w:rsid w:val="0301396B"/>
    <w:rsid w:val="031713E0"/>
    <w:rsid w:val="03237D85"/>
    <w:rsid w:val="032558AB"/>
    <w:rsid w:val="0328714A"/>
    <w:rsid w:val="033C3E12"/>
    <w:rsid w:val="033C49A3"/>
    <w:rsid w:val="038A7E04"/>
    <w:rsid w:val="03912F41"/>
    <w:rsid w:val="039D18E6"/>
    <w:rsid w:val="039E7ED1"/>
    <w:rsid w:val="03A475DA"/>
    <w:rsid w:val="03C2759E"/>
    <w:rsid w:val="03C350C4"/>
    <w:rsid w:val="03C36E72"/>
    <w:rsid w:val="03CC21CB"/>
    <w:rsid w:val="04047551"/>
    <w:rsid w:val="04051239"/>
    <w:rsid w:val="0426121F"/>
    <w:rsid w:val="04275653"/>
    <w:rsid w:val="04295B44"/>
    <w:rsid w:val="045E36B4"/>
    <w:rsid w:val="049802FF"/>
    <w:rsid w:val="04D31CC6"/>
    <w:rsid w:val="04DC4690"/>
    <w:rsid w:val="04DC643E"/>
    <w:rsid w:val="05015EA4"/>
    <w:rsid w:val="05085485"/>
    <w:rsid w:val="054B5371"/>
    <w:rsid w:val="0560706F"/>
    <w:rsid w:val="056117E3"/>
    <w:rsid w:val="05A0746B"/>
    <w:rsid w:val="05E7509A"/>
    <w:rsid w:val="05F61781"/>
    <w:rsid w:val="060644F0"/>
    <w:rsid w:val="06344057"/>
    <w:rsid w:val="065F10D4"/>
    <w:rsid w:val="06691F53"/>
    <w:rsid w:val="066C2166"/>
    <w:rsid w:val="06AC0092"/>
    <w:rsid w:val="06B906FA"/>
    <w:rsid w:val="06D53145"/>
    <w:rsid w:val="070B4DB8"/>
    <w:rsid w:val="074B1659"/>
    <w:rsid w:val="076D7821"/>
    <w:rsid w:val="078F2409"/>
    <w:rsid w:val="07B90CB8"/>
    <w:rsid w:val="07E76C04"/>
    <w:rsid w:val="07FE2B6F"/>
    <w:rsid w:val="085E53BC"/>
    <w:rsid w:val="087E7C32"/>
    <w:rsid w:val="08805332"/>
    <w:rsid w:val="08836BD0"/>
    <w:rsid w:val="08986B20"/>
    <w:rsid w:val="08BA6A96"/>
    <w:rsid w:val="08CC0577"/>
    <w:rsid w:val="08D76D8D"/>
    <w:rsid w:val="09016473"/>
    <w:rsid w:val="090E0B90"/>
    <w:rsid w:val="091A12E3"/>
    <w:rsid w:val="09A137B2"/>
    <w:rsid w:val="09AD03A9"/>
    <w:rsid w:val="09BA4874"/>
    <w:rsid w:val="09BC683E"/>
    <w:rsid w:val="09CC2DF8"/>
    <w:rsid w:val="09DF42DA"/>
    <w:rsid w:val="09E3201C"/>
    <w:rsid w:val="09EF09C1"/>
    <w:rsid w:val="0A03621B"/>
    <w:rsid w:val="0A2C751F"/>
    <w:rsid w:val="0A8C4462"/>
    <w:rsid w:val="0A8D3FAD"/>
    <w:rsid w:val="0A9B46A5"/>
    <w:rsid w:val="0AA74DF8"/>
    <w:rsid w:val="0AAF0151"/>
    <w:rsid w:val="0B04224A"/>
    <w:rsid w:val="0B093D05"/>
    <w:rsid w:val="0B4B7E79"/>
    <w:rsid w:val="0B6158EF"/>
    <w:rsid w:val="0B626F71"/>
    <w:rsid w:val="0B660046"/>
    <w:rsid w:val="0B753148"/>
    <w:rsid w:val="0BAC193D"/>
    <w:rsid w:val="0BB91287"/>
    <w:rsid w:val="0BC96FF0"/>
    <w:rsid w:val="0C152EE2"/>
    <w:rsid w:val="0C7E602C"/>
    <w:rsid w:val="0CEF0CD8"/>
    <w:rsid w:val="0CF307C8"/>
    <w:rsid w:val="0CFD1647"/>
    <w:rsid w:val="0CFF53BF"/>
    <w:rsid w:val="0D162709"/>
    <w:rsid w:val="0D18022F"/>
    <w:rsid w:val="0D3B3F1D"/>
    <w:rsid w:val="0D6E42F3"/>
    <w:rsid w:val="0DA16476"/>
    <w:rsid w:val="0DEB76F2"/>
    <w:rsid w:val="0E26697C"/>
    <w:rsid w:val="0E2F5830"/>
    <w:rsid w:val="0E3E5A73"/>
    <w:rsid w:val="0E456E02"/>
    <w:rsid w:val="0E4C5899"/>
    <w:rsid w:val="0E94387A"/>
    <w:rsid w:val="0EA77ABC"/>
    <w:rsid w:val="0EC73CBB"/>
    <w:rsid w:val="0EDE1004"/>
    <w:rsid w:val="0EF3685E"/>
    <w:rsid w:val="0EF600FC"/>
    <w:rsid w:val="0F16254C"/>
    <w:rsid w:val="0F2509E1"/>
    <w:rsid w:val="0F317386"/>
    <w:rsid w:val="0F325A61"/>
    <w:rsid w:val="0F3D5D2B"/>
    <w:rsid w:val="0F930041"/>
    <w:rsid w:val="0F933B9D"/>
    <w:rsid w:val="0FC87CEA"/>
    <w:rsid w:val="0FCE1079"/>
    <w:rsid w:val="10352EA6"/>
    <w:rsid w:val="10452DA1"/>
    <w:rsid w:val="10463763"/>
    <w:rsid w:val="107240FA"/>
    <w:rsid w:val="107D459E"/>
    <w:rsid w:val="10AF0EAA"/>
    <w:rsid w:val="11357601"/>
    <w:rsid w:val="11427629"/>
    <w:rsid w:val="115B4B8E"/>
    <w:rsid w:val="115B693C"/>
    <w:rsid w:val="11671785"/>
    <w:rsid w:val="11731ED8"/>
    <w:rsid w:val="11AB1672"/>
    <w:rsid w:val="11F0177A"/>
    <w:rsid w:val="120E7E53"/>
    <w:rsid w:val="12445622"/>
    <w:rsid w:val="127254CB"/>
    <w:rsid w:val="128A572B"/>
    <w:rsid w:val="12D76758"/>
    <w:rsid w:val="130A061A"/>
    <w:rsid w:val="13441D7E"/>
    <w:rsid w:val="134C0C32"/>
    <w:rsid w:val="136775E2"/>
    <w:rsid w:val="13751F34"/>
    <w:rsid w:val="137D5290"/>
    <w:rsid w:val="13EB21F9"/>
    <w:rsid w:val="13F13588"/>
    <w:rsid w:val="144233E6"/>
    <w:rsid w:val="144D4C62"/>
    <w:rsid w:val="144E09DA"/>
    <w:rsid w:val="14DD23D2"/>
    <w:rsid w:val="14F9337C"/>
    <w:rsid w:val="154D3EB8"/>
    <w:rsid w:val="15763D45"/>
    <w:rsid w:val="159D7523"/>
    <w:rsid w:val="15F1786F"/>
    <w:rsid w:val="161672D6"/>
    <w:rsid w:val="16443E43"/>
    <w:rsid w:val="1651030E"/>
    <w:rsid w:val="16573B76"/>
    <w:rsid w:val="1658169C"/>
    <w:rsid w:val="169A1CB5"/>
    <w:rsid w:val="16A42B33"/>
    <w:rsid w:val="16D36F75"/>
    <w:rsid w:val="16E13428"/>
    <w:rsid w:val="1723614E"/>
    <w:rsid w:val="17466D38"/>
    <w:rsid w:val="17514A69"/>
    <w:rsid w:val="176C3651"/>
    <w:rsid w:val="17AB50C8"/>
    <w:rsid w:val="17B44FF8"/>
    <w:rsid w:val="17EA2762"/>
    <w:rsid w:val="17FA6EAF"/>
    <w:rsid w:val="18012892"/>
    <w:rsid w:val="18297794"/>
    <w:rsid w:val="18495740"/>
    <w:rsid w:val="18574301"/>
    <w:rsid w:val="185C1918"/>
    <w:rsid w:val="18A07F18"/>
    <w:rsid w:val="18CE20EA"/>
    <w:rsid w:val="18DD40DB"/>
    <w:rsid w:val="18E4169E"/>
    <w:rsid w:val="18FF22A3"/>
    <w:rsid w:val="191044B0"/>
    <w:rsid w:val="195404FB"/>
    <w:rsid w:val="195B5130"/>
    <w:rsid w:val="1989356D"/>
    <w:rsid w:val="19A52E4A"/>
    <w:rsid w:val="19CF6119"/>
    <w:rsid w:val="19FA13E8"/>
    <w:rsid w:val="1A11228E"/>
    <w:rsid w:val="1A2735AF"/>
    <w:rsid w:val="1A3F504D"/>
    <w:rsid w:val="1ABC48F0"/>
    <w:rsid w:val="1AD5775F"/>
    <w:rsid w:val="1B067ECB"/>
    <w:rsid w:val="1B0D0CA7"/>
    <w:rsid w:val="1B2A0D10"/>
    <w:rsid w:val="1B302BE8"/>
    <w:rsid w:val="1B337BA0"/>
    <w:rsid w:val="1B55264E"/>
    <w:rsid w:val="1B6D1746"/>
    <w:rsid w:val="1B721452"/>
    <w:rsid w:val="1B79633D"/>
    <w:rsid w:val="1B7A4281"/>
    <w:rsid w:val="1B852F33"/>
    <w:rsid w:val="1BB457E4"/>
    <w:rsid w:val="1C176E8E"/>
    <w:rsid w:val="1C1D772D"/>
    <w:rsid w:val="1C200B97"/>
    <w:rsid w:val="1C204A0A"/>
    <w:rsid w:val="1C406E5A"/>
    <w:rsid w:val="1C4C3A51"/>
    <w:rsid w:val="1C694603"/>
    <w:rsid w:val="1C8A1297"/>
    <w:rsid w:val="1CAC1D9C"/>
    <w:rsid w:val="1CCE26B8"/>
    <w:rsid w:val="1CDD6D9F"/>
    <w:rsid w:val="1CEB6DC6"/>
    <w:rsid w:val="1CEE4B08"/>
    <w:rsid w:val="1D04257E"/>
    <w:rsid w:val="1D231808"/>
    <w:rsid w:val="1D3D2358"/>
    <w:rsid w:val="1D4F1A4B"/>
    <w:rsid w:val="1D5726AE"/>
    <w:rsid w:val="1D6372A4"/>
    <w:rsid w:val="1D6A7976"/>
    <w:rsid w:val="1D70376F"/>
    <w:rsid w:val="1D8611E5"/>
    <w:rsid w:val="1D903E12"/>
    <w:rsid w:val="1D9B7FC4"/>
    <w:rsid w:val="1DC15D79"/>
    <w:rsid w:val="1E100616"/>
    <w:rsid w:val="1E3D42FA"/>
    <w:rsid w:val="1E6D7CAF"/>
    <w:rsid w:val="1E876FC3"/>
    <w:rsid w:val="1E935967"/>
    <w:rsid w:val="1E9D55D7"/>
    <w:rsid w:val="1E9F7A2B"/>
    <w:rsid w:val="1EB06519"/>
    <w:rsid w:val="1F0423C1"/>
    <w:rsid w:val="1F282554"/>
    <w:rsid w:val="1F2F7E7C"/>
    <w:rsid w:val="1F3C5FFF"/>
    <w:rsid w:val="1F707A57"/>
    <w:rsid w:val="200B777F"/>
    <w:rsid w:val="200D34F7"/>
    <w:rsid w:val="201B3E66"/>
    <w:rsid w:val="202D5948"/>
    <w:rsid w:val="203E1903"/>
    <w:rsid w:val="203F32B8"/>
    <w:rsid w:val="205E01F7"/>
    <w:rsid w:val="207334DD"/>
    <w:rsid w:val="20886E47"/>
    <w:rsid w:val="20914128"/>
    <w:rsid w:val="20B16579"/>
    <w:rsid w:val="20B61DE1"/>
    <w:rsid w:val="20EA375E"/>
    <w:rsid w:val="2181419D"/>
    <w:rsid w:val="219519F6"/>
    <w:rsid w:val="224D5C19"/>
    <w:rsid w:val="22561186"/>
    <w:rsid w:val="225673D8"/>
    <w:rsid w:val="226E2973"/>
    <w:rsid w:val="22877591"/>
    <w:rsid w:val="228F28EA"/>
    <w:rsid w:val="22EB3FC4"/>
    <w:rsid w:val="22FD3CF7"/>
    <w:rsid w:val="2338088B"/>
    <w:rsid w:val="23386ADD"/>
    <w:rsid w:val="23571659"/>
    <w:rsid w:val="23645B24"/>
    <w:rsid w:val="2392443F"/>
    <w:rsid w:val="23A91789"/>
    <w:rsid w:val="23B73EA6"/>
    <w:rsid w:val="23E46C65"/>
    <w:rsid w:val="23FE0E85"/>
    <w:rsid w:val="24081B0B"/>
    <w:rsid w:val="241E3F25"/>
    <w:rsid w:val="243674C1"/>
    <w:rsid w:val="244871F4"/>
    <w:rsid w:val="244D480A"/>
    <w:rsid w:val="245F009A"/>
    <w:rsid w:val="24653902"/>
    <w:rsid w:val="246743AE"/>
    <w:rsid w:val="24704055"/>
    <w:rsid w:val="24A47423"/>
    <w:rsid w:val="24AA57B9"/>
    <w:rsid w:val="24AE34FB"/>
    <w:rsid w:val="24B403E6"/>
    <w:rsid w:val="24CA5E5B"/>
    <w:rsid w:val="24CF3471"/>
    <w:rsid w:val="25257535"/>
    <w:rsid w:val="254A0D4A"/>
    <w:rsid w:val="255F65A3"/>
    <w:rsid w:val="256B319A"/>
    <w:rsid w:val="257858B7"/>
    <w:rsid w:val="26171398"/>
    <w:rsid w:val="263C4B36"/>
    <w:rsid w:val="267442D0"/>
    <w:rsid w:val="269C7383"/>
    <w:rsid w:val="26B21E4F"/>
    <w:rsid w:val="26D92385"/>
    <w:rsid w:val="26EE3968"/>
    <w:rsid w:val="27194E78"/>
    <w:rsid w:val="2729330D"/>
    <w:rsid w:val="274F2647"/>
    <w:rsid w:val="275A7954"/>
    <w:rsid w:val="27822A1D"/>
    <w:rsid w:val="27E44A7E"/>
    <w:rsid w:val="27E965F8"/>
    <w:rsid w:val="27F03E2A"/>
    <w:rsid w:val="28123DA1"/>
    <w:rsid w:val="281F026C"/>
    <w:rsid w:val="283A32F8"/>
    <w:rsid w:val="28700AC7"/>
    <w:rsid w:val="287405B8"/>
    <w:rsid w:val="28754330"/>
    <w:rsid w:val="28844573"/>
    <w:rsid w:val="2886653D"/>
    <w:rsid w:val="288A1B89"/>
    <w:rsid w:val="28B44E58"/>
    <w:rsid w:val="28E76FDC"/>
    <w:rsid w:val="29115E06"/>
    <w:rsid w:val="292D3795"/>
    <w:rsid w:val="294A756A"/>
    <w:rsid w:val="295D729E"/>
    <w:rsid w:val="29915199"/>
    <w:rsid w:val="29A44ECD"/>
    <w:rsid w:val="29E03A2B"/>
    <w:rsid w:val="2A244EDE"/>
    <w:rsid w:val="2A331DAD"/>
    <w:rsid w:val="2A506E02"/>
    <w:rsid w:val="2A64465C"/>
    <w:rsid w:val="2A73664D"/>
    <w:rsid w:val="2B110340"/>
    <w:rsid w:val="2B764647"/>
    <w:rsid w:val="2BA411B4"/>
    <w:rsid w:val="2BA47406"/>
    <w:rsid w:val="2BC90A49"/>
    <w:rsid w:val="2BED0BF7"/>
    <w:rsid w:val="2C210A56"/>
    <w:rsid w:val="2C357775"/>
    <w:rsid w:val="2C3F0254"/>
    <w:rsid w:val="2C592D5C"/>
    <w:rsid w:val="2CA46F92"/>
    <w:rsid w:val="2D404F0C"/>
    <w:rsid w:val="2D4C7B60"/>
    <w:rsid w:val="2D516B90"/>
    <w:rsid w:val="2D986AF6"/>
    <w:rsid w:val="2D99286E"/>
    <w:rsid w:val="2DBA2F11"/>
    <w:rsid w:val="2E4B3B69"/>
    <w:rsid w:val="2E4C168F"/>
    <w:rsid w:val="2E6469D8"/>
    <w:rsid w:val="2E8E1CA7"/>
    <w:rsid w:val="2E9021DA"/>
    <w:rsid w:val="2E935510"/>
    <w:rsid w:val="2E9C43C4"/>
    <w:rsid w:val="2ED91034"/>
    <w:rsid w:val="2EEE0998"/>
    <w:rsid w:val="2F137092"/>
    <w:rsid w:val="2F1B67A6"/>
    <w:rsid w:val="2F324D29"/>
    <w:rsid w:val="2F61116A"/>
    <w:rsid w:val="2F650C5A"/>
    <w:rsid w:val="2F7E1D1C"/>
    <w:rsid w:val="2FB4573E"/>
    <w:rsid w:val="2FC71915"/>
    <w:rsid w:val="2FD22068"/>
    <w:rsid w:val="2FD61B58"/>
    <w:rsid w:val="300F6E18"/>
    <w:rsid w:val="30233FF0"/>
    <w:rsid w:val="30420F9B"/>
    <w:rsid w:val="30773D10"/>
    <w:rsid w:val="307D6477"/>
    <w:rsid w:val="30896BCA"/>
    <w:rsid w:val="309377A9"/>
    <w:rsid w:val="30997D12"/>
    <w:rsid w:val="30A27C8C"/>
    <w:rsid w:val="30B17ECF"/>
    <w:rsid w:val="30DD6F16"/>
    <w:rsid w:val="310E70CF"/>
    <w:rsid w:val="31293F09"/>
    <w:rsid w:val="315076E8"/>
    <w:rsid w:val="315216B2"/>
    <w:rsid w:val="319F5F79"/>
    <w:rsid w:val="31B40D69"/>
    <w:rsid w:val="31BB1552"/>
    <w:rsid w:val="31F12C79"/>
    <w:rsid w:val="32052280"/>
    <w:rsid w:val="322C3CB1"/>
    <w:rsid w:val="3234700A"/>
    <w:rsid w:val="323668DE"/>
    <w:rsid w:val="328E671A"/>
    <w:rsid w:val="32957AA8"/>
    <w:rsid w:val="329D1A83"/>
    <w:rsid w:val="32AC4DF2"/>
    <w:rsid w:val="32C137AF"/>
    <w:rsid w:val="32C91500"/>
    <w:rsid w:val="33042538"/>
    <w:rsid w:val="3308740F"/>
    <w:rsid w:val="33323549"/>
    <w:rsid w:val="333B5F99"/>
    <w:rsid w:val="33785B16"/>
    <w:rsid w:val="3381002D"/>
    <w:rsid w:val="33833DA5"/>
    <w:rsid w:val="33896EE1"/>
    <w:rsid w:val="340547BA"/>
    <w:rsid w:val="340C3D9A"/>
    <w:rsid w:val="342015F4"/>
    <w:rsid w:val="34220428"/>
    <w:rsid w:val="344A2B14"/>
    <w:rsid w:val="34735BC7"/>
    <w:rsid w:val="347D560A"/>
    <w:rsid w:val="347E456C"/>
    <w:rsid w:val="34BB5FE5"/>
    <w:rsid w:val="34CB0444"/>
    <w:rsid w:val="34CC52D7"/>
    <w:rsid w:val="34E645EB"/>
    <w:rsid w:val="352F7252"/>
    <w:rsid w:val="35335357"/>
    <w:rsid w:val="355A6D87"/>
    <w:rsid w:val="359C73A0"/>
    <w:rsid w:val="35A73464"/>
    <w:rsid w:val="35C366DA"/>
    <w:rsid w:val="35C97A69"/>
    <w:rsid w:val="36356F50"/>
    <w:rsid w:val="364041CF"/>
    <w:rsid w:val="366323DE"/>
    <w:rsid w:val="36883480"/>
    <w:rsid w:val="36981915"/>
    <w:rsid w:val="36A007CA"/>
    <w:rsid w:val="36BE06E2"/>
    <w:rsid w:val="36FA24F9"/>
    <w:rsid w:val="370730B7"/>
    <w:rsid w:val="37076A9B"/>
    <w:rsid w:val="377423B5"/>
    <w:rsid w:val="377A726D"/>
    <w:rsid w:val="37B7226F"/>
    <w:rsid w:val="37C60704"/>
    <w:rsid w:val="380354B4"/>
    <w:rsid w:val="38211DDE"/>
    <w:rsid w:val="38811EE6"/>
    <w:rsid w:val="389B56ED"/>
    <w:rsid w:val="38C8225A"/>
    <w:rsid w:val="38CD7870"/>
    <w:rsid w:val="38D75B70"/>
    <w:rsid w:val="390908A8"/>
    <w:rsid w:val="393A4F06"/>
    <w:rsid w:val="39756FBF"/>
    <w:rsid w:val="398728FC"/>
    <w:rsid w:val="39B822CE"/>
    <w:rsid w:val="39D4535A"/>
    <w:rsid w:val="39D75D18"/>
    <w:rsid w:val="39F03816"/>
    <w:rsid w:val="39F5707E"/>
    <w:rsid w:val="3A0069B2"/>
    <w:rsid w:val="3A175247"/>
    <w:rsid w:val="3A1A29FE"/>
    <w:rsid w:val="3A3E3526"/>
    <w:rsid w:val="3A8D72B7"/>
    <w:rsid w:val="3AA52853"/>
    <w:rsid w:val="3AC0768C"/>
    <w:rsid w:val="3B2E1F1F"/>
    <w:rsid w:val="3B540516"/>
    <w:rsid w:val="3B5E2A01"/>
    <w:rsid w:val="3B773897"/>
    <w:rsid w:val="3BA743A8"/>
    <w:rsid w:val="3BCE402B"/>
    <w:rsid w:val="3BD827B4"/>
    <w:rsid w:val="3BE23632"/>
    <w:rsid w:val="3C145EE2"/>
    <w:rsid w:val="3C5E715D"/>
    <w:rsid w:val="3C925059"/>
    <w:rsid w:val="3CC1149A"/>
    <w:rsid w:val="3CFA11FE"/>
    <w:rsid w:val="3D402D06"/>
    <w:rsid w:val="3D956BAE"/>
    <w:rsid w:val="3D987A45"/>
    <w:rsid w:val="3DAB63D2"/>
    <w:rsid w:val="3DAC214A"/>
    <w:rsid w:val="3E012496"/>
    <w:rsid w:val="3E3D2841"/>
    <w:rsid w:val="3E815385"/>
    <w:rsid w:val="3EE15E23"/>
    <w:rsid w:val="3F0639A1"/>
    <w:rsid w:val="3F3E5024"/>
    <w:rsid w:val="3F455109"/>
    <w:rsid w:val="3F4A1C1A"/>
    <w:rsid w:val="3F4C44AB"/>
    <w:rsid w:val="3F4F7231"/>
    <w:rsid w:val="3FBA6DA0"/>
    <w:rsid w:val="3FC1012F"/>
    <w:rsid w:val="3FE1257F"/>
    <w:rsid w:val="3FEC2CD2"/>
    <w:rsid w:val="3FEE07F8"/>
    <w:rsid w:val="3FFA4CE2"/>
    <w:rsid w:val="400B3232"/>
    <w:rsid w:val="400C0C7E"/>
    <w:rsid w:val="40291830"/>
    <w:rsid w:val="40436D96"/>
    <w:rsid w:val="40A84E4B"/>
    <w:rsid w:val="40BE01CA"/>
    <w:rsid w:val="40CF0629"/>
    <w:rsid w:val="40DF6392"/>
    <w:rsid w:val="40E045E4"/>
    <w:rsid w:val="410D1152"/>
    <w:rsid w:val="41A128BF"/>
    <w:rsid w:val="41AA4BF2"/>
    <w:rsid w:val="41DA54D8"/>
    <w:rsid w:val="420C31B7"/>
    <w:rsid w:val="422624CB"/>
    <w:rsid w:val="424D3EFC"/>
    <w:rsid w:val="426033F2"/>
    <w:rsid w:val="426C3C56"/>
    <w:rsid w:val="42915CB0"/>
    <w:rsid w:val="42B20202"/>
    <w:rsid w:val="42BF46CD"/>
    <w:rsid w:val="4348021F"/>
    <w:rsid w:val="4352109E"/>
    <w:rsid w:val="43574906"/>
    <w:rsid w:val="43F557DC"/>
    <w:rsid w:val="44246EDE"/>
    <w:rsid w:val="44290050"/>
    <w:rsid w:val="445B0426"/>
    <w:rsid w:val="44623562"/>
    <w:rsid w:val="447130DB"/>
    <w:rsid w:val="44782D86"/>
    <w:rsid w:val="44AD6B99"/>
    <w:rsid w:val="44CD5C33"/>
    <w:rsid w:val="44CE0BF8"/>
    <w:rsid w:val="44D2693A"/>
    <w:rsid w:val="45085EB8"/>
    <w:rsid w:val="45107451"/>
    <w:rsid w:val="451232E0"/>
    <w:rsid w:val="45253CE3"/>
    <w:rsid w:val="4550160D"/>
    <w:rsid w:val="45633A36"/>
    <w:rsid w:val="458A0FC3"/>
    <w:rsid w:val="45CD3243"/>
    <w:rsid w:val="4607616F"/>
    <w:rsid w:val="46236D21"/>
    <w:rsid w:val="462E5DF2"/>
    <w:rsid w:val="46761547"/>
    <w:rsid w:val="46876962"/>
    <w:rsid w:val="46E10872"/>
    <w:rsid w:val="46F32B98"/>
    <w:rsid w:val="475C3FEE"/>
    <w:rsid w:val="47A3011A"/>
    <w:rsid w:val="47AC3472"/>
    <w:rsid w:val="47F6293F"/>
    <w:rsid w:val="481E3C44"/>
    <w:rsid w:val="48254FD3"/>
    <w:rsid w:val="489B7043"/>
    <w:rsid w:val="48C50ABA"/>
    <w:rsid w:val="48C93BB0"/>
    <w:rsid w:val="48D10CB7"/>
    <w:rsid w:val="48E22EC4"/>
    <w:rsid w:val="48EB7FCA"/>
    <w:rsid w:val="49177011"/>
    <w:rsid w:val="49543DC1"/>
    <w:rsid w:val="495971ED"/>
    <w:rsid w:val="495E079C"/>
    <w:rsid w:val="497F6965"/>
    <w:rsid w:val="49840BA4"/>
    <w:rsid w:val="49BA799D"/>
    <w:rsid w:val="49ED09CE"/>
    <w:rsid w:val="4A1043C2"/>
    <w:rsid w:val="4A1D0657"/>
    <w:rsid w:val="4A3B0F74"/>
    <w:rsid w:val="4A4A0D21"/>
    <w:rsid w:val="4A695C36"/>
    <w:rsid w:val="4A91224A"/>
    <w:rsid w:val="4AB32D6A"/>
    <w:rsid w:val="4AE051E1"/>
    <w:rsid w:val="4B3F45FD"/>
    <w:rsid w:val="4B4439C2"/>
    <w:rsid w:val="4BAB3A41"/>
    <w:rsid w:val="4BF4363A"/>
    <w:rsid w:val="4C07336D"/>
    <w:rsid w:val="4C4C1EAC"/>
    <w:rsid w:val="4C520360"/>
    <w:rsid w:val="4C6C1422"/>
    <w:rsid w:val="4C871DB8"/>
    <w:rsid w:val="4CA26BF2"/>
    <w:rsid w:val="4CDC716A"/>
    <w:rsid w:val="4D023B34"/>
    <w:rsid w:val="4D1909A6"/>
    <w:rsid w:val="4D355CB8"/>
    <w:rsid w:val="4D587961"/>
    <w:rsid w:val="4D6C7200"/>
    <w:rsid w:val="4D7F7FB0"/>
    <w:rsid w:val="4DB27309"/>
    <w:rsid w:val="4DB34E2F"/>
    <w:rsid w:val="4DCE2530"/>
    <w:rsid w:val="4DD062F2"/>
    <w:rsid w:val="4E0A0EF3"/>
    <w:rsid w:val="4E4361B3"/>
    <w:rsid w:val="4E5B34FC"/>
    <w:rsid w:val="4E796078"/>
    <w:rsid w:val="4E8862BB"/>
    <w:rsid w:val="4EF31987"/>
    <w:rsid w:val="4F043B94"/>
    <w:rsid w:val="4F155DA1"/>
    <w:rsid w:val="4F3501F1"/>
    <w:rsid w:val="4F351F9F"/>
    <w:rsid w:val="4FB942A6"/>
    <w:rsid w:val="4FD33566"/>
    <w:rsid w:val="50016325"/>
    <w:rsid w:val="504F7091"/>
    <w:rsid w:val="507E7976"/>
    <w:rsid w:val="50964CC0"/>
    <w:rsid w:val="50966A6E"/>
    <w:rsid w:val="50A828D4"/>
    <w:rsid w:val="50D2735F"/>
    <w:rsid w:val="50FB0FC7"/>
    <w:rsid w:val="515661FD"/>
    <w:rsid w:val="51654692"/>
    <w:rsid w:val="516F1F78"/>
    <w:rsid w:val="51713037"/>
    <w:rsid w:val="51937451"/>
    <w:rsid w:val="51B15B29"/>
    <w:rsid w:val="51D6733E"/>
    <w:rsid w:val="51EB103B"/>
    <w:rsid w:val="52097713"/>
    <w:rsid w:val="52320A18"/>
    <w:rsid w:val="523227C6"/>
    <w:rsid w:val="52662F59"/>
    <w:rsid w:val="52831274"/>
    <w:rsid w:val="52992845"/>
    <w:rsid w:val="52B92EE7"/>
    <w:rsid w:val="52C8312A"/>
    <w:rsid w:val="5311687F"/>
    <w:rsid w:val="532E7431"/>
    <w:rsid w:val="53364538"/>
    <w:rsid w:val="53487DC7"/>
    <w:rsid w:val="538B36BD"/>
    <w:rsid w:val="53BF0089"/>
    <w:rsid w:val="54176117"/>
    <w:rsid w:val="54183C3E"/>
    <w:rsid w:val="54194508"/>
    <w:rsid w:val="542B571F"/>
    <w:rsid w:val="54413194"/>
    <w:rsid w:val="54860387"/>
    <w:rsid w:val="54AD6A7C"/>
    <w:rsid w:val="54BE2A37"/>
    <w:rsid w:val="54C31DFB"/>
    <w:rsid w:val="54DF79C4"/>
    <w:rsid w:val="54E56216"/>
    <w:rsid w:val="55517407"/>
    <w:rsid w:val="556F1F83"/>
    <w:rsid w:val="558D41B7"/>
    <w:rsid w:val="559B4B26"/>
    <w:rsid w:val="55C55009"/>
    <w:rsid w:val="55D122F6"/>
    <w:rsid w:val="55FE087C"/>
    <w:rsid w:val="5612303A"/>
    <w:rsid w:val="56130B60"/>
    <w:rsid w:val="567710EF"/>
    <w:rsid w:val="56777341"/>
    <w:rsid w:val="56AD0EE6"/>
    <w:rsid w:val="56AD2D63"/>
    <w:rsid w:val="57241125"/>
    <w:rsid w:val="578A30A4"/>
    <w:rsid w:val="57AF2B0B"/>
    <w:rsid w:val="57E722A5"/>
    <w:rsid w:val="581415F7"/>
    <w:rsid w:val="582232DD"/>
    <w:rsid w:val="583C439E"/>
    <w:rsid w:val="58900396"/>
    <w:rsid w:val="5898534D"/>
    <w:rsid w:val="58D40123"/>
    <w:rsid w:val="59545718"/>
    <w:rsid w:val="59576FB6"/>
    <w:rsid w:val="596A0A97"/>
    <w:rsid w:val="59B461B6"/>
    <w:rsid w:val="59FF38D6"/>
    <w:rsid w:val="5A0A227A"/>
    <w:rsid w:val="5A1924BD"/>
    <w:rsid w:val="5A81078E"/>
    <w:rsid w:val="5A8B5169"/>
    <w:rsid w:val="5AB50438"/>
    <w:rsid w:val="5AC664DB"/>
    <w:rsid w:val="5AE34FA5"/>
    <w:rsid w:val="5AE618E9"/>
    <w:rsid w:val="5B0867BA"/>
    <w:rsid w:val="5B127639"/>
    <w:rsid w:val="5B435CAE"/>
    <w:rsid w:val="5B4A6DD2"/>
    <w:rsid w:val="5B936592"/>
    <w:rsid w:val="5BC76675"/>
    <w:rsid w:val="5BCF552A"/>
    <w:rsid w:val="5BD32C9E"/>
    <w:rsid w:val="5BEA38B9"/>
    <w:rsid w:val="5C480E38"/>
    <w:rsid w:val="5C566E40"/>
    <w:rsid w:val="5C6914DA"/>
    <w:rsid w:val="5C763BF7"/>
    <w:rsid w:val="5C8111E6"/>
    <w:rsid w:val="5CB36BF9"/>
    <w:rsid w:val="5D3C099D"/>
    <w:rsid w:val="5D6371FC"/>
    <w:rsid w:val="5D706898"/>
    <w:rsid w:val="5D7243BE"/>
    <w:rsid w:val="5D8D11F8"/>
    <w:rsid w:val="5DAA7FFC"/>
    <w:rsid w:val="5DB22A0D"/>
    <w:rsid w:val="5DE81CA0"/>
    <w:rsid w:val="5DEC23C3"/>
    <w:rsid w:val="5DFD637E"/>
    <w:rsid w:val="5E190CDE"/>
    <w:rsid w:val="5E437B09"/>
    <w:rsid w:val="5E453881"/>
    <w:rsid w:val="5EC31195"/>
    <w:rsid w:val="5ECC3FA2"/>
    <w:rsid w:val="5EE72B8A"/>
    <w:rsid w:val="5EEB233B"/>
    <w:rsid w:val="5EFD0600"/>
    <w:rsid w:val="5F1C2834"/>
    <w:rsid w:val="5F530220"/>
    <w:rsid w:val="5F5A7800"/>
    <w:rsid w:val="5FA40A7B"/>
    <w:rsid w:val="5FCF3D4A"/>
    <w:rsid w:val="60410240"/>
    <w:rsid w:val="60675D31"/>
    <w:rsid w:val="60714E01"/>
    <w:rsid w:val="60874625"/>
    <w:rsid w:val="60BF3537"/>
    <w:rsid w:val="60EA37BA"/>
    <w:rsid w:val="60F31CBA"/>
    <w:rsid w:val="60FD0443"/>
    <w:rsid w:val="61125381"/>
    <w:rsid w:val="612E684E"/>
    <w:rsid w:val="619863BE"/>
    <w:rsid w:val="61A82AA5"/>
    <w:rsid w:val="61BD7BD2"/>
    <w:rsid w:val="61BE5E24"/>
    <w:rsid w:val="61F31DCA"/>
    <w:rsid w:val="620F495A"/>
    <w:rsid w:val="62570027"/>
    <w:rsid w:val="62612C54"/>
    <w:rsid w:val="62652744"/>
    <w:rsid w:val="629E7A04"/>
    <w:rsid w:val="62AF39BF"/>
    <w:rsid w:val="62BD60DC"/>
    <w:rsid w:val="62CD149C"/>
    <w:rsid w:val="62E17C15"/>
    <w:rsid w:val="630E06E5"/>
    <w:rsid w:val="63AA05CE"/>
    <w:rsid w:val="63B84AF5"/>
    <w:rsid w:val="63B96071"/>
    <w:rsid w:val="63E43B3C"/>
    <w:rsid w:val="641E0DFC"/>
    <w:rsid w:val="646A4041"/>
    <w:rsid w:val="648D5F82"/>
    <w:rsid w:val="64C71494"/>
    <w:rsid w:val="64D21BE7"/>
    <w:rsid w:val="64FE63C0"/>
    <w:rsid w:val="65314B5F"/>
    <w:rsid w:val="65377591"/>
    <w:rsid w:val="65413867"/>
    <w:rsid w:val="6545060B"/>
    <w:rsid w:val="657D1B52"/>
    <w:rsid w:val="65BC08CD"/>
    <w:rsid w:val="65C43C25"/>
    <w:rsid w:val="66083B12"/>
    <w:rsid w:val="6609788A"/>
    <w:rsid w:val="66246472"/>
    <w:rsid w:val="66356058"/>
    <w:rsid w:val="66574891"/>
    <w:rsid w:val="66997AFC"/>
    <w:rsid w:val="66AD6467"/>
    <w:rsid w:val="66E0683D"/>
    <w:rsid w:val="66F347C2"/>
    <w:rsid w:val="66FB5425"/>
    <w:rsid w:val="67002A3B"/>
    <w:rsid w:val="672D02BE"/>
    <w:rsid w:val="67486190"/>
    <w:rsid w:val="6759039D"/>
    <w:rsid w:val="676D0950"/>
    <w:rsid w:val="677B0314"/>
    <w:rsid w:val="67AC4971"/>
    <w:rsid w:val="67D57A24"/>
    <w:rsid w:val="67DF4D46"/>
    <w:rsid w:val="67E97973"/>
    <w:rsid w:val="685F3791"/>
    <w:rsid w:val="68684D3C"/>
    <w:rsid w:val="688D0F46"/>
    <w:rsid w:val="68A33FC6"/>
    <w:rsid w:val="68A76292"/>
    <w:rsid w:val="68DE6DAC"/>
    <w:rsid w:val="69456E2B"/>
    <w:rsid w:val="694C01BA"/>
    <w:rsid w:val="69562DE6"/>
    <w:rsid w:val="696F20FA"/>
    <w:rsid w:val="698A6F34"/>
    <w:rsid w:val="69DD7064"/>
    <w:rsid w:val="69EB4DF4"/>
    <w:rsid w:val="69F543AD"/>
    <w:rsid w:val="6A5D01A4"/>
    <w:rsid w:val="6A876FCF"/>
    <w:rsid w:val="6AF74155"/>
    <w:rsid w:val="6B040620"/>
    <w:rsid w:val="6B1731E1"/>
    <w:rsid w:val="6B286A04"/>
    <w:rsid w:val="6B3158B9"/>
    <w:rsid w:val="6B3C17BB"/>
    <w:rsid w:val="6B6317EA"/>
    <w:rsid w:val="6B881251"/>
    <w:rsid w:val="6B96396E"/>
    <w:rsid w:val="6BB838E4"/>
    <w:rsid w:val="6BBD714D"/>
    <w:rsid w:val="6BFA3EFD"/>
    <w:rsid w:val="6C0303C3"/>
    <w:rsid w:val="6C0E79A8"/>
    <w:rsid w:val="6C2D29E6"/>
    <w:rsid w:val="6C411B2C"/>
    <w:rsid w:val="6C621AA2"/>
    <w:rsid w:val="6C7812C6"/>
    <w:rsid w:val="6CBF0CA2"/>
    <w:rsid w:val="6CCF5389"/>
    <w:rsid w:val="6CD02EB0"/>
    <w:rsid w:val="6D137AEE"/>
    <w:rsid w:val="6D910891"/>
    <w:rsid w:val="6D940381"/>
    <w:rsid w:val="6DAD6ECF"/>
    <w:rsid w:val="6DBD1686"/>
    <w:rsid w:val="6DC522E8"/>
    <w:rsid w:val="6DC5678C"/>
    <w:rsid w:val="6DEE7A91"/>
    <w:rsid w:val="6E041063"/>
    <w:rsid w:val="6E1A0886"/>
    <w:rsid w:val="6E21708F"/>
    <w:rsid w:val="6E3569CB"/>
    <w:rsid w:val="6E677844"/>
    <w:rsid w:val="6E9028F6"/>
    <w:rsid w:val="6EBA3E17"/>
    <w:rsid w:val="6EC53069"/>
    <w:rsid w:val="6EEA7083"/>
    <w:rsid w:val="6F082DD5"/>
    <w:rsid w:val="6F410095"/>
    <w:rsid w:val="6F547DC8"/>
    <w:rsid w:val="6FA7439C"/>
    <w:rsid w:val="6FBB1BF5"/>
    <w:rsid w:val="6FE32EFA"/>
    <w:rsid w:val="6FE54DD0"/>
    <w:rsid w:val="700215D2"/>
    <w:rsid w:val="703F58AB"/>
    <w:rsid w:val="70447E3C"/>
    <w:rsid w:val="70700C31"/>
    <w:rsid w:val="707D50FC"/>
    <w:rsid w:val="708B7819"/>
    <w:rsid w:val="709F1517"/>
    <w:rsid w:val="70AB1C6A"/>
    <w:rsid w:val="70B05196"/>
    <w:rsid w:val="70B52AE8"/>
    <w:rsid w:val="70C04FE9"/>
    <w:rsid w:val="70ED4030"/>
    <w:rsid w:val="710B2708"/>
    <w:rsid w:val="71290DE0"/>
    <w:rsid w:val="713F0604"/>
    <w:rsid w:val="71431EA2"/>
    <w:rsid w:val="715A71EC"/>
    <w:rsid w:val="718F6E95"/>
    <w:rsid w:val="71A36DE5"/>
    <w:rsid w:val="71B27028"/>
    <w:rsid w:val="71BC2B4B"/>
    <w:rsid w:val="71BE59CD"/>
    <w:rsid w:val="71CB1E97"/>
    <w:rsid w:val="71CC633B"/>
    <w:rsid w:val="71E116BB"/>
    <w:rsid w:val="7211724D"/>
    <w:rsid w:val="721B4BCD"/>
    <w:rsid w:val="72703C64"/>
    <w:rsid w:val="72A5093A"/>
    <w:rsid w:val="72CC5EC7"/>
    <w:rsid w:val="73025D8D"/>
    <w:rsid w:val="734807DC"/>
    <w:rsid w:val="73722E02"/>
    <w:rsid w:val="7379604F"/>
    <w:rsid w:val="73A11102"/>
    <w:rsid w:val="73B2330F"/>
    <w:rsid w:val="73BA2531"/>
    <w:rsid w:val="73D3135C"/>
    <w:rsid w:val="74035919"/>
    <w:rsid w:val="744A5358"/>
    <w:rsid w:val="745A1B37"/>
    <w:rsid w:val="747D1AE7"/>
    <w:rsid w:val="749D7B1B"/>
    <w:rsid w:val="74A0585D"/>
    <w:rsid w:val="74AC4202"/>
    <w:rsid w:val="74E27C24"/>
    <w:rsid w:val="74F2284A"/>
    <w:rsid w:val="750000AA"/>
    <w:rsid w:val="7501454E"/>
    <w:rsid w:val="75071439"/>
    <w:rsid w:val="753137D6"/>
    <w:rsid w:val="753C7334"/>
    <w:rsid w:val="755C3532"/>
    <w:rsid w:val="757F1917"/>
    <w:rsid w:val="757F3F1F"/>
    <w:rsid w:val="75A153E9"/>
    <w:rsid w:val="75FF65C2"/>
    <w:rsid w:val="7614205F"/>
    <w:rsid w:val="76805946"/>
    <w:rsid w:val="76B455F0"/>
    <w:rsid w:val="76CF41D8"/>
    <w:rsid w:val="76E77774"/>
    <w:rsid w:val="770C71DA"/>
    <w:rsid w:val="774E77F3"/>
    <w:rsid w:val="77980A6E"/>
    <w:rsid w:val="779C67B0"/>
    <w:rsid w:val="77A13DC6"/>
    <w:rsid w:val="77A318EC"/>
    <w:rsid w:val="77D67492"/>
    <w:rsid w:val="77F72D81"/>
    <w:rsid w:val="78056103"/>
    <w:rsid w:val="78300CA6"/>
    <w:rsid w:val="78565BD6"/>
    <w:rsid w:val="785E5813"/>
    <w:rsid w:val="788236E7"/>
    <w:rsid w:val="788B412F"/>
    <w:rsid w:val="78941235"/>
    <w:rsid w:val="78BF7ACB"/>
    <w:rsid w:val="79031A5D"/>
    <w:rsid w:val="79366578"/>
    <w:rsid w:val="794C4C4B"/>
    <w:rsid w:val="797057FE"/>
    <w:rsid w:val="7984574E"/>
    <w:rsid w:val="79A25BD4"/>
    <w:rsid w:val="79B77C1A"/>
    <w:rsid w:val="79C618C2"/>
    <w:rsid w:val="79DB7D0F"/>
    <w:rsid w:val="79E32474"/>
    <w:rsid w:val="7A0B5527"/>
    <w:rsid w:val="7A0E5017"/>
    <w:rsid w:val="7A4F7B0A"/>
    <w:rsid w:val="7A545120"/>
    <w:rsid w:val="7A721A4A"/>
    <w:rsid w:val="7AAE34F4"/>
    <w:rsid w:val="7AB21E46"/>
    <w:rsid w:val="7ABE2720"/>
    <w:rsid w:val="7AD87AFF"/>
    <w:rsid w:val="7AFD57B8"/>
    <w:rsid w:val="7B5D6256"/>
    <w:rsid w:val="7C2428D0"/>
    <w:rsid w:val="7C6D24C9"/>
    <w:rsid w:val="7C6F4493"/>
    <w:rsid w:val="7C897132"/>
    <w:rsid w:val="7CB65C1E"/>
    <w:rsid w:val="7CF95B0B"/>
    <w:rsid w:val="7D1943FF"/>
    <w:rsid w:val="7D31799A"/>
    <w:rsid w:val="7D391DFD"/>
    <w:rsid w:val="7D642A42"/>
    <w:rsid w:val="7DD50326"/>
    <w:rsid w:val="7E2D63B4"/>
    <w:rsid w:val="7E2E3EDA"/>
    <w:rsid w:val="7E346888"/>
    <w:rsid w:val="7E4D25B2"/>
    <w:rsid w:val="7E4E00D8"/>
    <w:rsid w:val="7E5E656D"/>
    <w:rsid w:val="7EA877E8"/>
    <w:rsid w:val="7EE2719E"/>
    <w:rsid w:val="7EEC0C28"/>
    <w:rsid w:val="7EF173E1"/>
    <w:rsid w:val="7EFE38AC"/>
    <w:rsid w:val="7F271055"/>
    <w:rsid w:val="7F2C7ACE"/>
    <w:rsid w:val="7F43111F"/>
    <w:rsid w:val="7F604567"/>
    <w:rsid w:val="7F6C4CBA"/>
    <w:rsid w:val="7F871AF4"/>
    <w:rsid w:val="7FC70142"/>
    <w:rsid w:val="7FC76394"/>
    <w:rsid w:val="7FC76CE3"/>
    <w:rsid w:val="7FCA0C9B"/>
    <w:rsid w:val="7FCA19E0"/>
    <w:rsid w:val="7FDB599C"/>
    <w:rsid w:val="7FF23E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sz w:val="22"/>
      <w:szCs w:val="22"/>
      <w:lang w:val="en-US" w:eastAsia="en-US" w:bidi="ar-SA"/>
    </w:rPr>
  </w:style>
  <w:style w:type="paragraph" w:styleId="2">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7"/>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8"/>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9"/>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0"/>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31"/>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2"/>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4"/>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unhideWhenUsed/>
    <w:qFormat/>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11">
    <w:name w:val="annotation text"/>
    <w:basedOn w:val="1"/>
    <w:unhideWhenUsed/>
    <w:qFormat/>
    <w:uiPriority w:val="99"/>
  </w:style>
  <w:style w:type="paragraph" w:styleId="12">
    <w:name w:val="Body Text"/>
    <w:basedOn w:val="1"/>
    <w:link w:val="45"/>
    <w:qFormat/>
    <w:uiPriority w:val="1"/>
    <w:pPr>
      <w:ind w:left="100"/>
    </w:pPr>
    <w:rPr>
      <w:sz w:val="28"/>
      <w:szCs w:val="28"/>
    </w:rPr>
  </w:style>
  <w:style w:type="paragraph" w:styleId="13">
    <w:name w:val="toc 3"/>
    <w:basedOn w:val="1"/>
    <w:next w:val="1"/>
    <w:qFormat/>
    <w:uiPriority w:val="1"/>
    <w:pPr>
      <w:spacing w:before="174"/>
      <w:ind w:left="659"/>
    </w:pPr>
    <w:rPr>
      <w:sz w:val="28"/>
      <w:szCs w:val="28"/>
    </w:rPr>
  </w:style>
  <w:style w:type="paragraph" w:styleId="14">
    <w:name w:val="Balloon Text"/>
    <w:basedOn w:val="1"/>
    <w:link w:val="53"/>
    <w:unhideWhenUsed/>
    <w:qFormat/>
    <w:uiPriority w:val="99"/>
    <w:rPr>
      <w:sz w:val="18"/>
      <w:szCs w:val="18"/>
    </w:rPr>
  </w:style>
  <w:style w:type="paragraph" w:styleId="15">
    <w:name w:val="footer"/>
    <w:basedOn w:val="1"/>
    <w:link w:val="48"/>
    <w:unhideWhenUsed/>
    <w:qFormat/>
    <w:uiPriority w:val="99"/>
    <w:pPr>
      <w:tabs>
        <w:tab w:val="center" w:pos="4153"/>
        <w:tab w:val="right" w:pos="8306"/>
      </w:tabs>
      <w:snapToGrid w:val="0"/>
    </w:pPr>
    <w:rPr>
      <w:sz w:val="18"/>
      <w:szCs w:val="18"/>
    </w:rPr>
  </w:style>
  <w:style w:type="paragraph" w:styleId="16">
    <w:name w:val="header"/>
    <w:basedOn w:val="1"/>
    <w:link w:val="47"/>
    <w:unhideWhenUsed/>
    <w:qFormat/>
    <w:uiPriority w:val="99"/>
    <w:pPr>
      <w:tabs>
        <w:tab w:val="center" w:pos="4153"/>
        <w:tab w:val="right" w:pos="8306"/>
      </w:tabs>
      <w:snapToGrid w:val="0"/>
      <w:jc w:val="center"/>
    </w:pPr>
    <w:rPr>
      <w:sz w:val="18"/>
      <w:szCs w:val="18"/>
    </w:rPr>
  </w:style>
  <w:style w:type="paragraph" w:styleId="17">
    <w:name w:val="toc 1"/>
    <w:basedOn w:val="1"/>
    <w:next w:val="1"/>
    <w:qFormat/>
    <w:uiPriority w:val="1"/>
    <w:pPr>
      <w:spacing w:before="196"/>
      <w:ind w:right="304"/>
      <w:jc w:val="center"/>
    </w:pPr>
    <w:rPr>
      <w:rFonts w:ascii="微软雅黑" w:hAnsi="微软雅黑" w:eastAsia="微软雅黑" w:cs="微软雅黑"/>
      <w:b/>
      <w:bCs/>
      <w:sz w:val="28"/>
      <w:szCs w:val="28"/>
    </w:rPr>
  </w:style>
  <w:style w:type="paragraph" w:styleId="18">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9">
    <w:name w:val="toc 2"/>
    <w:basedOn w:val="1"/>
    <w:next w:val="1"/>
    <w:qFormat/>
    <w:uiPriority w:val="1"/>
    <w:pPr>
      <w:spacing w:before="104"/>
      <w:ind w:left="100"/>
    </w:pPr>
    <w:rPr>
      <w:rFonts w:ascii="微软雅黑" w:hAnsi="微软雅黑" w:eastAsia="微软雅黑" w:cs="微软雅黑"/>
      <w:b/>
      <w:bCs/>
      <w:sz w:val="28"/>
      <w:szCs w:val="28"/>
    </w:rPr>
  </w:style>
  <w:style w:type="paragraph" w:styleId="20">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2">
    <w:name w:val="Strong"/>
    <w:basedOn w:val="21"/>
    <w:qFormat/>
    <w:uiPriority w:val="22"/>
    <w:rPr>
      <w:b/>
    </w:rPr>
  </w:style>
  <w:style w:type="character" w:styleId="23">
    <w:name w:val="line number"/>
    <w:basedOn w:val="21"/>
    <w:unhideWhenUsed/>
    <w:qFormat/>
    <w:uiPriority w:val="99"/>
  </w:style>
  <w:style w:type="character" w:styleId="24">
    <w:name w:val="annotation reference"/>
    <w:basedOn w:val="21"/>
    <w:unhideWhenUsed/>
    <w:qFormat/>
    <w:uiPriority w:val="99"/>
    <w:rPr>
      <w:sz w:val="21"/>
      <w:szCs w:val="21"/>
    </w:rPr>
  </w:style>
  <w:style w:type="character" w:customStyle="1" w:styleId="26">
    <w:name w:val="标题 1 Char"/>
    <w:basedOn w:val="21"/>
    <w:link w:val="2"/>
    <w:qFormat/>
    <w:uiPriority w:val="9"/>
    <w:rPr>
      <w:rFonts w:asciiTheme="majorHAnsi" w:hAnsiTheme="majorHAnsi" w:eastAsiaTheme="majorEastAsia" w:cstheme="majorBidi"/>
      <w:color w:val="104862" w:themeColor="accent1" w:themeShade="BF"/>
      <w:sz w:val="48"/>
      <w:szCs w:val="48"/>
    </w:rPr>
  </w:style>
  <w:style w:type="character" w:customStyle="1" w:styleId="27">
    <w:name w:val="标题 2 Char"/>
    <w:basedOn w:val="21"/>
    <w:link w:val="3"/>
    <w:qFormat/>
    <w:uiPriority w:val="9"/>
    <w:rPr>
      <w:rFonts w:asciiTheme="majorHAnsi" w:hAnsiTheme="majorHAnsi" w:eastAsiaTheme="majorEastAsia" w:cstheme="majorBidi"/>
      <w:color w:val="104862" w:themeColor="accent1" w:themeShade="BF"/>
      <w:sz w:val="40"/>
      <w:szCs w:val="40"/>
    </w:rPr>
  </w:style>
  <w:style w:type="character" w:customStyle="1" w:styleId="28">
    <w:name w:val="标题 3 Char"/>
    <w:basedOn w:val="2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9">
    <w:name w:val="标题 4 Char"/>
    <w:basedOn w:val="21"/>
    <w:link w:val="5"/>
    <w:qFormat/>
    <w:uiPriority w:val="9"/>
    <w:rPr>
      <w:rFonts w:cstheme="majorBidi"/>
      <w:color w:val="104862" w:themeColor="accent1" w:themeShade="BF"/>
      <w:sz w:val="28"/>
      <w:szCs w:val="28"/>
    </w:rPr>
  </w:style>
  <w:style w:type="character" w:customStyle="1" w:styleId="30">
    <w:name w:val="标题 5 Char"/>
    <w:basedOn w:val="21"/>
    <w:link w:val="6"/>
    <w:semiHidden/>
    <w:qFormat/>
    <w:uiPriority w:val="9"/>
    <w:rPr>
      <w:rFonts w:cstheme="majorBidi"/>
      <w:color w:val="104862" w:themeColor="accent1" w:themeShade="BF"/>
      <w:sz w:val="24"/>
      <w:szCs w:val="24"/>
    </w:rPr>
  </w:style>
  <w:style w:type="character" w:customStyle="1" w:styleId="31">
    <w:name w:val="标题 6 Char"/>
    <w:basedOn w:val="21"/>
    <w:link w:val="7"/>
    <w:semiHidden/>
    <w:qFormat/>
    <w:uiPriority w:val="9"/>
    <w:rPr>
      <w:rFonts w:cstheme="majorBidi"/>
      <w:b/>
      <w:bCs/>
      <w:color w:val="104862" w:themeColor="accent1" w:themeShade="BF"/>
    </w:rPr>
  </w:style>
  <w:style w:type="character" w:customStyle="1" w:styleId="32">
    <w:name w:val="标题 7 Char"/>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Char"/>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4">
    <w:name w:val="标题 9 Char"/>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Char"/>
    <w:basedOn w:val="21"/>
    <w:link w:val="20"/>
    <w:qFormat/>
    <w:uiPriority w:val="10"/>
    <w:rPr>
      <w:rFonts w:asciiTheme="majorHAnsi" w:hAnsiTheme="majorHAnsi" w:eastAsiaTheme="majorEastAsia" w:cstheme="majorBidi"/>
      <w:spacing w:val="-10"/>
      <w:kern w:val="28"/>
      <w:sz w:val="56"/>
      <w:szCs w:val="56"/>
    </w:rPr>
  </w:style>
  <w:style w:type="character" w:customStyle="1" w:styleId="36">
    <w:name w:val="副标题 Char"/>
    <w:basedOn w:val="21"/>
    <w:link w:val="18"/>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customStyle="1" w:styleId="37">
    <w:name w:val="引用1"/>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21"/>
    <w:link w:val="37"/>
    <w:qFormat/>
    <w:uiPriority w:val="29"/>
    <w:rPr>
      <w:i/>
      <w:iCs/>
      <w:color w:val="404040" w:themeColor="text1" w:themeTint="BF"/>
      <w14:textFill>
        <w14:solidFill>
          <w14:schemeClr w14:val="tx1">
            <w14:lumMod w14:val="75000"/>
            <w14:lumOff w14:val="25000"/>
          </w14:schemeClr>
        </w14:solidFill>
      </w14:textFill>
    </w:rPr>
  </w:style>
  <w:style w:type="paragraph" w:customStyle="1" w:styleId="39">
    <w:name w:val="列出段落1"/>
    <w:basedOn w:val="1"/>
    <w:qFormat/>
    <w:uiPriority w:val="1"/>
    <w:pPr>
      <w:ind w:left="720"/>
      <w:contextualSpacing/>
    </w:pPr>
  </w:style>
  <w:style w:type="character" w:customStyle="1" w:styleId="40">
    <w:name w:val="明显强调1"/>
    <w:basedOn w:val="21"/>
    <w:qFormat/>
    <w:uiPriority w:val="21"/>
    <w:rPr>
      <w:i/>
      <w:iCs/>
      <w:color w:val="104862" w:themeColor="accent1" w:themeShade="BF"/>
    </w:rPr>
  </w:style>
  <w:style w:type="paragraph" w:customStyle="1" w:styleId="41">
    <w:name w:val="明显引用1"/>
    <w:basedOn w:val="1"/>
    <w:next w:val="1"/>
    <w:link w:val="4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2">
    <w:name w:val="明显引用 字符"/>
    <w:basedOn w:val="21"/>
    <w:link w:val="41"/>
    <w:qFormat/>
    <w:uiPriority w:val="30"/>
    <w:rPr>
      <w:i/>
      <w:iCs/>
      <w:color w:val="104862" w:themeColor="accent1" w:themeShade="BF"/>
    </w:rPr>
  </w:style>
  <w:style w:type="character" w:customStyle="1" w:styleId="43">
    <w:name w:val="明显参考1"/>
    <w:basedOn w:val="21"/>
    <w:qFormat/>
    <w:uiPriority w:val="32"/>
    <w:rPr>
      <w:b/>
      <w:bCs/>
      <w:smallCaps/>
      <w:color w:val="104862" w:themeColor="accent1" w:themeShade="BF"/>
      <w:spacing w:val="5"/>
    </w:rPr>
  </w:style>
  <w:style w:type="table" w:customStyle="1" w:styleId="44">
    <w:name w:val="Table Normal"/>
    <w:unhideWhenUsed/>
    <w:qFormat/>
    <w:uiPriority w:val="2"/>
    <w:pPr>
      <w:widowControl w:val="0"/>
      <w:autoSpaceDE w:val="0"/>
      <w:autoSpaceDN w:val="0"/>
    </w:pPr>
    <w:rPr>
      <w:sz w:val="22"/>
      <w:lang w:eastAsia="en-US"/>
    </w:rPr>
    <w:tblPr>
      <w:tblLayout w:type="fixed"/>
      <w:tblCellMar>
        <w:top w:w="0" w:type="dxa"/>
        <w:left w:w="0" w:type="dxa"/>
        <w:bottom w:w="0" w:type="dxa"/>
        <w:right w:w="0" w:type="dxa"/>
      </w:tblCellMar>
    </w:tblPr>
  </w:style>
  <w:style w:type="character" w:customStyle="1" w:styleId="45">
    <w:name w:val="正文文本 Char"/>
    <w:basedOn w:val="21"/>
    <w:link w:val="12"/>
    <w:qFormat/>
    <w:uiPriority w:val="1"/>
    <w:rPr>
      <w:rFonts w:ascii="仿宋" w:hAnsi="仿宋" w:eastAsia="仿宋" w:cs="仿宋"/>
      <w:kern w:val="0"/>
      <w:sz w:val="28"/>
      <w:szCs w:val="28"/>
      <w:lang w:eastAsia="en-US"/>
    </w:rPr>
  </w:style>
  <w:style w:type="paragraph" w:customStyle="1" w:styleId="46">
    <w:name w:val="Table Paragraph"/>
    <w:basedOn w:val="1"/>
    <w:qFormat/>
    <w:uiPriority w:val="1"/>
    <w:pPr>
      <w:jc w:val="center"/>
    </w:pPr>
  </w:style>
  <w:style w:type="character" w:customStyle="1" w:styleId="47">
    <w:name w:val="页眉 Char"/>
    <w:basedOn w:val="21"/>
    <w:link w:val="16"/>
    <w:qFormat/>
    <w:uiPriority w:val="99"/>
    <w:rPr>
      <w:rFonts w:ascii="仿宋" w:hAnsi="仿宋" w:eastAsia="仿宋" w:cs="仿宋"/>
      <w:kern w:val="0"/>
      <w:sz w:val="18"/>
      <w:szCs w:val="18"/>
      <w:lang w:eastAsia="en-US"/>
    </w:rPr>
  </w:style>
  <w:style w:type="character" w:customStyle="1" w:styleId="48">
    <w:name w:val="页脚 Char"/>
    <w:basedOn w:val="21"/>
    <w:link w:val="15"/>
    <w:qFormat/>
    <w:uiPriority w:val="99"/>
    <w:rPr>
      <w:rFonts w:ascii="仿宋" w:hAnsi="仿宋" w:eastAsia="仿宋" w:cs="仿宋"/>
      <w:kern w:val="0"/>
      <w:sz w:val="18"/>
      <w:szCs w:val="18"/>
      <w:lang w:eastAsia="en-US"/>
    </w:rPr>
  </w:style>
  <w:style w:type="character" w:customStyle="1" w:styleId="49">
    <w:name w:val="font51"/>
    <w:basedOn w:val="21"/>
    <w:qFormat/>
    <w:uiPriority w:val="0"/>
    <w:rPr>
      <w:rFonts w:hint="default" w:ascii="Times New Roman" w:hAnsi="Times New Roman" w:cs="Times New Roman"/>
      <w:b/>
      <w:bCs/>
      <w:color w:val="333333"/>
      <w:sz w:val="24"/>
      <w:szCs w:val="24"/>
      <w:u w:val="none"/>
    </w:rPr>
  </w:style>
  <w:style w:type="character" w:customStyle="1" w:styleId="50">
    <w:name w:val="font11"/>
    <w:basedOn w:val="21"/>
    <w:qFormat/>
    <w:uiPriority w:val="0"/>
    <w:rPr>
      <w:rFonts w:hint="eastAsia" w:ascii="仿宋" w:hAnsi="仿宋" w:eastAsia="仿宋" w:cs="仿宋"/>
      <w:b/>
      <w:bCs/>
      <w:color w:val="333333"/>
      <w:sz w:val="24"/>
      <w:szCs w:val="24"/>
      <w:u w:val="none"/>
    </w:rPr>
  </w:style>
  <w:style w:type="character" w:customStyle="1" w:styleId="51">
    <w:name w:val="font41"/>
    <w:basedOn w:val="21"/>
    <w:qFormat/>
    <w:uiPriority w:val="0"/>
    <w:rPr>
      <w:rFonts w:hint="default" w:ascii="Times New Roman" w:hAnsi="Times New Roman" w:cs="Times New Roman"/>
      <w:color w:val="333333"/>
      <w:sz w:val="24"/>
      <w:szCs w:val="24"/>
      <w:u w:val="none"/>
    </w:rPr>
  </w:style>
  <w:style w:type="character" w:customStyle="1" w:styleId="52">
    <w:name w:val="font21"/>
    <w:basedOn w:val="21"/>
    <w:qFormat/>
    <w:uiPriority w:val="0"/>
    <w:rPr>
      <w:rFonts w:hint="eastAsia" w:ascii="仿宋" w:hAnsi="仿宋" w:eastAsia="仿宋" w:cs="仿宋"/>
      <w:color w:val="333333"/>
      <w:sz w:val="24"/>
      <w:szCs w:val="24"/>
      <w:u w:val="none"/>
    </w:rPr>
  </w:style>
  <w:style w:type="character" w:customStyle="1" w:styleId="53">
    <w:name w:val="批注框文本 Char"/>
    <w:basedOn w:val="21"/>
    <w:link w:val="14"/>
    <w:semiHidden/>
    <w:qFormat/>
    <w:uiPriority w:val="99"/>
    <w:rPr>
      <w:rFonts w:ascii="仿宋" w:hAnsi="仿宋" w:eastAsia="仿宋" w:cs="仿宋"/>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2B4FD-05CD-4E14-B62E-8550B9DFCA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66</Pages>
  <Words>10543</Words>
  <Characters>10665</Characters>
  <Lines>243</Lines>
  <Paragraphs>68</Paragraphs>
  <ScaleCrop>false</ScaleCrop>
  <LinksUpToDate>false</LinksUpToDate>
  <CharactersWithSpaces>10885</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2025-08-20T02:45:00Z</dcterms:created>
  <dc:creator>Administrator</dc:creator>
  <cp:lastModifiedBy>yffj</cp:lastModifiedBy>
  <cp:lastPrinted>2025-11-28T02:40:00Z</cp:lastPrinted>
  <dcterms:modified xsi:type="dcterms:W3CDTF">2026-01-23T07:47:56Z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eyJoZGlkIjoiOGRlZjkzN2RhOWNkYjZkODY2NTg4OTAyNWM0NWRlZTYiLCJ1c2VySWQiOiIyNTQ2NDIzMzUifQ==</vt:lpwstr>
  </property>
  <property fmtid="{D5CDD505-2E9C-101B-9397-08002B2CF9AE}" pid="3" name="KSOProductBuildVer">
    <vt:lpwstr>2052-10.8.0.6108</vt:lpwstr>
  </property>
  <property fmtid="{D5CDD505-2E9C-101B-9397-08002B2CF9AE}" pid="4" name="ICV">
    <vt:lpwstr>D646FC55CC7F47EAACEA6F59AF725EEB_13</vt:lpwstr>
  </property>
</Properties>
</file>